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C774924">
      <w:pPr>
        <w:pStyle w:val="2"/>
      </w:pPr>
      <w:r>
        <w:rPr>
          <w:b/>
          <w:sz w:val="48"/>
        </w:rPr>
        <w:t>无标题文档</w:t>
      </w:r>
    </w:p>
    <w:p w14:paraId="620D1FDF"/>
    <w:p w14:paraId="79D945FC">
      <w:pPr>
        <w:spacing w:line="360" w:lineRule="auto"/>
      </w:pPr>
      <w:r>
        <w:rPr>
          <w:color w:val="000000"/>
          <w:sz w:val="21"/>
          <w:u w:val="single"/>
        </w:rPr>
        <w:t xml:space="preserve"> </w:t>
      </w:r>
    </w:p>
    <w:p w14:paraId="7CBAA7AE">
      <w:pPr>
        <w:pStyle w:val="3"/>
        <w:spacing w:line="240" w:lineRule="auto"/>
        <w:jc w:val="center"/>
      </w:pPr>
      <w:r>
        <w:rPr>
          <w:b/>
          <w:color w:val="000000"/>
          <w:sz w:val="32"/>
        </w:rPr>
        <w:t>第十三届全国海洋航行器设计与制作大赛</w:t>
      </w:r>
    </w:p>
    <w:p w14:paraId="3B986DDE">
      <w:pPr>
        <w:pStyle w:val="3"/>
        <w:spacing w:line="240" w:lineRule="auto"/>
        <w:jc w:val="center"/>
      </w:pPr>
      <w:r>
        <w:rPr>
          <w:b/>
          <w:color w:val="000000"/>
          <w:sz w:val="32"/>
        </w:rPr>
        <w:t xml:space="preserve"> </w:t>
      </w:r>
    </w:p>
    <w:p w14:paraId="2113B14C">
      <w:pPr>
        <w:pStyle w:val="3"/>
        <w:spacing w:line="240" w:lineRule="auto"/>
        <w:jc w:val="center"/>
      </w:pPr>
      <w:r>
        <w:rPr>
          <w:b/>
          <w:color w:val="000000"/>
          <w:sz w:val="72"/>
        </w:rPr>
        <w:t>参赛作品说明书</w:t>
      </w:r>
    </w:p>
    <w:p w14:paraId="328CF93B">
      <w:pPr>
        <w:spacing w:line="360" w:lineRule="auto"/>
      </w:pPr>
      <w:r>
        <w:rPr>
          <w:b/>
          <w:color w:val="000000"/>
          <w:sz w:val="30"/>
        </w:rPr>
        <w:t xml:space="preserve">    作品名称：</w:t>
      </w:r>
      <w:r>
        <w:rPr>
          <w:b/>
          <w:color w:val="000000"/>
          <w:sz w:val="30"/>
          <w:u w:val="single"/>
        </w:rPr>
        <w:t>                                          </w:t>
      </w:r>
    </w:p>
    <w:p w14:paraId="737F5AC5">
      <w:pPr>
        <w:spacing w:line="360" w:lineRule="auto"/>
      </w:pPr>
      <w:r>
        <w:rPr>
          <w:b/>
          <w:color w:val="000000"/>
          <w:sz w:val="30"/>
        </w:rPr>
        <w:t xml:space="preserve"> </w:t>
      </w:r>
    </w:p>
    <w:p w14:paraId="6B21342D">
      <w:pPr>
        <w:spacing w:line="360" w:lineRule="auto"/>
      </w:pPr>
      <w:r>
        <w:rPr>
          <w:b/>
          <w:color w:val="000000"/>
          <w:sz w:val="30"/>
        </w:rPr>
        <w:t xml:space="preserve">    学校名称：</w:t>
      </w:r>
      <w:r>
        <w:rPr>
          <w:b/>
          <w:color w:val="000000"/>
          <w:sz w:val="30"/>
          <w:u w:val="single"/>
        </w:rPr>
        <w:t>                                          </w:t>
      </w:r>
    </w:p>
    <w:p w14:paraId="0E41B54C">
      <w:pPr>
        <w:spacing w:line="360" w:lineRule="auto"/>
      </w:pPr>
      <w:r>
        <w:rPr>
          <w:b/>
          <w:color w:val="000000"/>
          <w:sz w:val="30"/>
        </w:rPr>
        <w:t xml:space="preserve"> </w:t>
      </w:r>
    </w:p>
    <w:p w14:paraId="5ADC98B2">
      <w:pPr>
        <w:spacing w:line="360" w:lineRule="auto"/>
      </w:pPr>
      <w:r>
        <w:rPr>
          <w:b/>
          <w:color w:val="000000"/>
          <w:sz w:val="30"/>
        </w:rPr>
        <w:t xml:space="preserve">    参赛者姓名：</w:t>
      </w:r>
      <w:r>
        <w:rPr>
          <w:b/>
          <w:color w:val="000000"/>
          <w:sz w:val="30"/>
          <w:u w:val="single"/>
        </w:rPr>
        <w:t>                                         </w:t>
      </w:r>
    </w:p>
    <w:p w14:paraId="5946EC3E">
      <w:pPr>
        <w:spacing w:line="360" w:lineRule="auto"/>
      </w:pPr>
      <w:r>
        <w:rPr>
          <w:color w:val="000000"/>
          <w:sz w:val="30"/>
        </w:rPr>
        <w:t xml:space="preserve">   </w:t>
      </w:r>
      <w:r>
        <w:rPr>
          <w:b/>
          <w:color w:val="000000"/>
          <w:sz w:val="30"/>
        </w:rPr>
        <w:t> 类别：</w:t>
      </w:r>
    </w:p>
    <w:p w14:paraId="2E82C11E">
      <w:pPr>
        <w:spacing w:line="360" w:lineRule="auto"/>
        <w:ind w:firstLine="720"/>
      </w:pPr>
      <w:r>
        <w:rPr>
          <w:color w:val="000000"/>
          <w:sz w:val="24"/>
        </w:rPr>
        <w:t>□ B1 设计与制作-水面组  □ B2 设计与制作-水下组</w:t>
      </w:r>
    </w:p>
    <w:p w14:paraId="7F54DAE2">
      <w:pPr>
        <w:spacing w:line="360" w:lineRule="auto"/>
        <w:ind w:left="2160"/>
      </w:pPr>
      <w:r>
        <w:rPr>
          <w:color w:val="000000"/>
          <w:sz w:val="28"/>
        </w:rPr>
        <w:t xml:space="preserve"> </w:t>
      </w:r>
    </w:p>
    <w:p w14:paraId="2AB8E269">
      <w:pPr>
        <w:spacing w:line="360" w:lineRule="auto"/>
        <w:ind w:left="2160"/>
      </w:pPr>
      <w:r>
        <w:rPr>
          <w:color w:val="000000"/>
          <w:sz w:val="28"/>
        </w:rPr>
        <w:t xml:space="preserve"> </w:t>
      </w:r>
    </w:p>
    <w:p w14:paraId="1F5A0E95">
      <w:pPr>
        <w:spacing w:line="360" w:lineRule="auto"/>
        <w:ind w:left="2160"/>
      </w:pPr>
      <w:r>
        <w:rPr>
          <w:color w:val="000000"/>
          <w:sz w:val="28"/>
        </w:rPr>
        <w:t xml:space="preserve"> </w:t>
      </w:r>
    </w:p>
    <w:p w14:paraId="06A3F76E">
      <w:pPr>
        <w:spacing w:line="360" w:lineRule="auto"/>
        <w:ind w:left="2160"/>
      </w:pPr>
      <w:r>
        <w:rPr>
          <w:color w:val="000000"/>
          <w:sz w:val="28"/>
        </w:rPr>
        <w:t xml:space="preserve"> </w:t>
      </w:r>
    </w:p>
    <w:p w14:paraId="56353DD2">
      <w:pPr>
        <w:spacing w:line="360" w:lineRule="auto"/>
        <w:ind w:left="2160"/>
      </w:pPr>
      <w:r>
        <w:rPr>
          <w:color w:val="000000"/>
          <w:sz w:val="28"/>
        </w:rPr>
        <w:t xml:space="preserve"> </w:t>
      </w:r>
    </w:p>
    <w:p w14:paraId="6F0E33C0">
      <w:pPr>
        <w:spacing w:line="360" w:lineRule="auto"/>
        <w:ind w:left="2160"/>
      </w:pPr>
      <w:r>
        <w:rPr>
          <w:color w:val="000000"/>
          <w:sz w:val="28"/>
        </w:rPr>
        <w:t xml:space="preserve"> </w:t>
      </w:r>
    </w:p>
    <w:p w14:paraId="5A438C59">
      <w:pPr>
        <w:spacing w:line="360" w:lineRule="auto"/>
        <w:jc w:val="center"/>
      </w:pPr>
      <w:r>
        <w:rPr>
          <w:color w:val="000000"/>
          <w:sz w:val="30"/>
        </w:rPr>
        <w:t>全国海洋航行器设计与制作大赛组委会制</w:t>
      </w:r>
    </w:p>
    <w:p w14:paraId="3A423957">
      <w:pPr>
        <w:spacing w:line="360" w:lineRule="auto"/>
        <w:jc w:val="center"/>
      </w:pPr>
      <w:r>
        <w:rPr>
          <w:color w:val="000000"/>
          <w:sz w:val="30"/>
        </w:rPr>
        <w:t>2024-4-2</w:t>
      </w:r>
    </w:p>
    <w:p w14:paraId="777CA71E"/>
    <w:p w14:paraId="07D6CD7D">
      <w:pPr>
        <w:spacing w:line="240" w:lineRule="auto"/>
        <w:jc w:val="center"/>
      </w:pPr>
      <w:r>
        <w:rPr>
          <w:color w:val="000000"/>
          <w:sz w:val="44"/>
        </w:rPr>
        <w:t>关于参赛作品说明书使用授权的说明</w:t>
      </w:r>
    </w:p>
    <w:p w14:paraId="22293F76">
      <w:pPr>
        <w:spacing w:line="240" w:lineRule="auto"/>
      </w:pPr>
      <w:r>
        <w:rPr>
          <w:color w:val="000000"/>
          <w:sz w:val="24"/>
        </w:rPr>
        <w:t xml:space="preserve"> </w:t>
      </w:r>
    </w:p>
    <w:p w14:paraId="2AC68C18">
      <w:pPr>
        <w:spacing w:line="240" w:lineRule="auto"/>
      </w:pPr>
      <w:r>
        <w:rPr>
          <w:color w:val="000000"/>
          <w:sz w:val="26"/>
        </w:rPr>
        <w:t xml:space="preserve"> </w:t>
      </w:r>
    </w:p>
    <w:p w14:paraId="5F80C7A0">
      <w:pPr>
        <w:spacing w:line="240" w:lineRule="auto"/>
      </w:pPr>
      <w:r>
        <w:rPr>
          <w:color w:val="000000"/>
          <w:sz w:val="26"/>
        </w:rPr>
        <w:t> </w:t>
      </w:r>
      <w:r>
        <w:rPr>
          <w:color w:val="000000"/>
          <w:sz w:val="24"/>
        </w:rPr>
        <w:t>本人完全了解第十三届全国海洋航行器设计与制作大赛关于保留、使用参赛作品说明书的规定，即：参赛作品著作权归参赛者本人，比赛组委会可以在相关主页上收录并公开参赛作品的设计方案、技术报告以及参赛作品的视频、图像资料，并将相关内容编纂收录在组委会出版论文集中。如作品有核心保密部分，请向组委会另行说明，将不予公开。</w:t>
      </w:r>
    </w:p>
    <w:p w14:paraId="302CF823">
      <w:pPr>
        <w:spacing w:line="240" w:lineRule="auto"/>
      </w:pPr>
      <w:r>
        <w:rPr>
          <w:color w:val="000000"/>
          <w:sz w:val="26"/>
        </w:rPr>
        <w:t xml:space="preserve"> </w:t>
      </w:r>
    </w:p>
    <w:p w14:paraId="47C8FECF">
      <w:pPr>
        <w:spacing w:line="240" w:lineRule="auto"/>
        <w:ind w:firstLine="5200"/>
      </w:pPr>
      <w:r>
        <w:rPr>
          <w:color w:val="000000"/>
          <w:sz w:val="26"/>
        </w:rPr>
        <w:t>参赛队员签名：</w:t>
      </w:r>
      <w:r>
        <w:rPr>
          <w:color w:val="000000"/>
          <w:sz w:val="26"/>
          <w:u w:val="single"/>
        </w:rPr>
        <w:t>   </w:t>
      </w:r>
    </w:p>
    <w:p w14:paraId="39C6EFCE">
      <w:pPr>
        <w:spacing w:line="240" w:lineRule="auto"/>
        <w:ind w:firstLine="7033"/>
      </w:pPr>
      <w:r>
        <w:rPr>
          <w:color w:val="000000"/>
          <w:sz w:val="26"/>
          <w:u w:val="single"/>
        </w:rPr>
        <w:t xml:space="preserve">          </w:t>
      </w:r>
    </w:p>
    <w:p w14:paraId="24743DFD">
      <w:pPr>
        <w:spacing w:line="240" w:lineRule="auto"/>
        <w:ind w:firstLine="7033"/>
      </w:pPr>
      <w:r>
        <w:rPr>
          <w:color w:val="000000"/>
          <w:sz w:val="26"/>
          <w:u w:val="single"/>
        </w:rPr>
        <w:t xml:space="preserve">          </w:t>
      </w:r>
    </w:p>
    <w:p w14:paraId="172FACA9">
      <w:pPr>
        <w:spacing w:line="240" w:lineRule="auto"/>
        <w:ind w:firstLine="7033"/>
      </w:pPr>
      <w:r>
        <w:rPr>
          <w:color w:val="000000"/>
          <w:sz w:val="26"/>
          <w:u w:val="single"/>
        </w:rPr>
        <w:t xml:space="preserve">          </w:t>
      </w:r>
    </w:p>
    <w:p w14:paraId="46C4E14C">
      <w:pPr>
        <w:spacing w:line="240" w:lineRule="auto"/>
        <w:ind w:firstLine="7033"/>
      </w:pPr>
      <w:r>
        <w:rPr>
          <w:color w:val="000000"/>
          <w:sz w:val="26"/>
          <w:u w:val="single"/>
        </w:rPr>
        <w:t xml:space="preserve">          </w:t>
      </w:r>
    </w:p>
    <w:p w14:paraId="313D197E">
      <w:pPr>
        <w:spacing w:line="240" w:lineRule="auto"/>
        <w:ind w:firstLine="5200"/>
      </w:pPr>
      <w:r>
        <w:rPr>
          <w:color w:val="000000"/>
          <w:sz w:val="26"/>
        </w:rPr>
        <w:t>指导老师签名：</w:t>
      </w:r>
      <w:r>
        <w:rPr>
          <w:color w:val="000000"/>
          <w:sz w:val="26"/>
          <w:u w:val="single"/>
        </w:rPr>
        <w:t>   </w:t>
      </w:r>
    </w:p>
    <w:p w14:paraId="76DB8932">
      <w:pPr>
        <w:spacing w:line="240" w:lineRule="auto"/>
        <w:ind w:firstLine="7033"/>
      </w:pPr>
      <w:r>
        <w:rPr>
          <w:color w:val="000000"/>
          <w:sz w:val="26"/>
          <w:u w:val="single"/>
        </w:rPr>
        <w:t xml:space="preserve">          </w:t>
      </w:r>
    </w:p>
    <w:p w14:paraId="71E713FB">
      <w:pPr>
        <w:spacing w:line="240" w:lineRule="auto"/>
        <w:ind w:firstLine="5200"/>
      </w:pPr>
      <w:r>
        <w:rPr>
          <w:color w:val="000000"/>
          <w:sz w:val="26"/>
        </w:rPr>
        <w:t>日        期：</w:t>
      </w:r>
      <w:r>
        <w:rPr>
          <w:color w:val="000000"/>
          <w:sz w:val="26"/>
          <w:u w:val="single"/>
        </w:rPr>
        <w:t>       </w:t>
      </w:r>
    </w:p>
    <w:p w14:paraId="4C748267">
      <w:pPr>
        <w:spacing w:line="240" w:lineRule="auto"/>
      </w:pPr>
      <w:r>
        <w:rPr>
          <w:color w:val="000000"/>
          <w:sz w:val="26"/>
          <w:u w:val="single"/>
        </w:rPr>
        <w:t xml:space="preserve"> </w:t>
      </w:r>
    </w:p>
    <w:p w14:paraId="3600DAFF">
      <w:pPr>
        <w:spacing w:line="240" w:lineRule="auto"/>
      </w:pPr>
      <w:r>
        <w:rPr>
          <w:color w:val="000000"/>
          <w:sz w:val="26"/>
          <w:u w:val="single"/>
        </w:rPr>
        <w:t xml:space="preserve"> </w:t>
      </w:r>
    </w:p>
    <w:p w14:paraId="61289B37">
      <w:pPr>
        <w:spacing w:line="240" w:lineRule="auto"/>
      </w:pPr>
      <w:r>
        <w:rPr>
          <w:color w:val="000000"/>
          <w:sz w:val="26"/>
          <w:u w:val="single"/>
        </w:rPr>
        <w:t xml:space="preserve"> </w:t>
      </w:r>
    </w:p>
    <w:p w14:paraId="250DC567">
      <w:pPr>
        <w:spacing w:line="240" w:lineRule="auto"/>
      </w:pPr>
      <w:r>
        <w:rPr>
          <w:color w:val="000000"/>
          <w:sz w:val="26"/>
          <w:u w:val="single"/>
        </w:rPr>
        <w:t xml:space="preserve"> </w:t>
      </w:r>
    </w:p>
    <w:p w14:paraId="126B5E11">
      <w:pPr>
        <w:spacing w:line="240" w:lineRule="auto"/>
      </w:pPr>
      <w:r>
        <w:rPr>
          <w:color w:val="000000"/>
          <w:sz w:val="26"/>
          <w:u w:val="single"/>
        </w:rPr>
        <w:t xml:space="preserve"> </w:t>
      </w:r>
    </w:p>
    <w:p w14:paraId="114C15E4">
      <w:pPr>
        <w:spacing w:line="240" w:lineRule="auto"/>
      </w:pPr>
      <w:r>
        <w:rPr>
          <w:color w:val="000000"/>
          <w:sz w:val="26"/>
          <w:u w:val="single"/>
        </w:rPr>
        <w:t xml:space="preserve"> </w:t>
      </w:r>
    </w:p>
    <w:p w14:paraId="704AF088">
      <w:pPr>
        <w:spacing w:line="240" w:lineRule="auto"/>
      </w:pPr>
      <w:r>
        <w:rPr>
          <w:color w:val="000000"/>
          <w:sz w:val="26"/>
          <w:u w:val="single"/>
        </w:rPr>
        <w:t xml:space="preserve"> </w:t>
      </w:r>
    </w:p>
    <w:p w14:paraId="402EC8FE">
      <w:pPr>
        <w:spacing w:line="240" w:lineRule="auto"/>
      </w:pPr>
      <w:r>
        <w:rPr>
          <w:color w:val="000000"/>
          <w:sz w:val="26"/>
          <w:u w:val="single"/>
        </w:rPr>
        <w:t xml:space="preserve"> </w:t>
      </w:r>
    </w:p>
    <w:p w14:paraId="1C89964E">
      <w:pPr>
        <w:spacing w:line="240" w:lineRule="auto"/>
      </w:pPr>
      <w:r>
        <w:rPr>
          <w:color w:val="000000"/>
          <w:sz w:val="26"/>
          <w:u w:val="single"/>
        </w:rPr>
        <w:t xml:space="preserve"> </w:t>
      </w:r>
    </w:p>
    <w:p w14:paraId="74A19292">
      <w:pPr>
        <w:spacing w:line="240" w:lineRule="auto"/>
      </w:pPr>
      <w:r>
        <w:rPr>
          <w:color w:val="000000"/>
          <w:sz w:val="26"/>
          <w:u w:val="single"/>
        </w:rPr>
        <w:t xml:space="preserve"> </w:t>
      </w:r>
    </w:p>
    <w:p w14:paraId="652F7B3A"/>
    <w:p w14:paraId="64933F63">
      <w:pPr>
        <w:spacing w:line="240" w:lineRule="auto"/>
        <w:jc w:val="center"/>
      </w:pPr>
      <w:r>
        <w:rPr>
          <w:color w:val="000000"/>
          <w:sz w:val="32"/>
        </w:rPr>
        <w:t>保密承诺书</w:t>
      </w:r>
    </w:p>
    <w:p w14:paraId="23D05567">
      <w:pPr>
        <w:spacing w:line="240" w:lineRule="auto"/>
        <w:jc w:val="center"/>
      </w:pPr>
      <w:r>
        <w:rPr>
          <w:color w:val="000000"/>
          <w:sz w:val="32"/>
        </w:rPr>
        <w:t xml:space="preserve"> </w:t>
      </w:r>
    </w:p>
    <w:p w14:paraId="7BF2B68E">
      <w:pPr>
        <w:spacing w:line="276" w:lineRule="auto"/>
        <w:ind w:firstLine="559"/>
      </w:pPr>
      <w:r>
        <w:rPr>
          <w:color w:val="000000"/>
          <w:sz w:val="28"/>
        </w:rPr>
        <w:t>项目参与者共同承诺：本申报书《</w:t>
      </w:r>
      <w:r>
        <w:rPr>
          <w:color w:val="000000"/>
          <w:sz w:val="28"/>
          <w:u w:val="single"/>
        </w:rPr>
        <w:t>           </w:t>
      </w:r>
      <w:r>
        <w:rPr>
          <w:color w:val="000000"/>
          <w:sz w:val="28"/>
        </w:rPr>
        <w:t>》所有内容均不涉及国家秘密，也无敏感内容，若造成失泄密，由本项目申请人承担全部责任。</w:t>
      </w:r>
    </w:p>
    <w:p w14:paraId="2A9120BA">
      <w:pPr>
        <w:spacing w:line="276" w:lineRule="auto"/>
        <w:ind w:firstLine="559"/>
      </w:pPr>
      <w:r>
        <w:rPr>
          <w:color w:val="000000"/>
          <w:sz w:val="28"/>
        </w:rPr>
        <w:t xml:space="preserve"> </w:t>
      </w:r>
    </w:p>
    <w:p w14:paraId="700169BD">
      <w:pPr>
        <w:spacing w:line="276" w:lineRule="auto"/>
        <w:ind w:firstLine="559"/>
        <w:jc w:val="right"/>
      </w:pPr>
      <w:r>
        <w:rPr>
          <w:color w:val="000000"/>
          <w:sz w:val="28"/>
        </w:rPr>
        <w:t>项目申请人签字：</w:t>
      </w:r>
      <w:r>
        <w:rPr>
          <w:color w:val="000000"/>
          <w:sz w:val="28"/>
          <w:u w:val="single"/>
        </w:rPr>
        <w:t>（所有项目申请人全部签字）    </w:t>
      </w:r>
    </w:p>
    <w:p w14:paraId="1D275DC0">
      <w:pPr>
        <w:spacing w:line="276" w:lineRule="auto"/>
        <w:ind w:firstLine="559"/>
        <w:jc w:val="right"/>
      </w:pPr>
      <w:r>
        <w:rPr>
          <w:color w:val="000000"/>
          <w:sz w:val="28"/>
        </w:rPr>
        <w:t>年  月  日</w:t>
      </w:r>
    </w:p>
    <w:p w14:paraId="578F8985">
      <w:r>
        <w:rPr>
          <w:color w:val="000000"/>
          <w:sz w:val="21"/>
        </w:rPr>
        <w:t xml:space="preserve"> </w:t>
      </w:r>
    </w:p>
    <w:p w14:paraId="4877291B"/>
    <w:p w14:paraId="1DCB777B">
      <w:pPr>
        <w:spacing w:line="240" w:lineRule="auto"/>
        <w:jc w:val="center"/>
      </w:pPr>
      <w:r>
        <w:rPr>
          <w:color w:val="000000"/>
          <w:sz w:val="28"/>
        </w:rPr>
        <w:t>作品简介</w:t>
      </w:r>
      <w:r>
        <w:rPr>
          <w:color w:val="FF0000"/>
          <w:sz w:val="28"/>
        </w:rPr>
        <w:t>（一页纸，勿多，填写的时候删除红字）</w:t>
      </w:r>
    </w:p>
    <w:tbl>
      <w:tblPr>
        <w:tblStyle w:val="5"/>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autofit"/>
        <w:tblCellMar>
          <w:top w:w="0" w:type="dxa"/>
          <w:left w:w="108" w:type="dxa"/>
          <w:bottom w:w="0" w:type="dxa"/>
          <w:right w:w="108" w:type="dxa"/>
        </w:tblCellMar>
      </w:tblPr>
      <w:tblGrid>
        <w:gridCol w:w="2115"/>
        <w:gridCol w:w="10320"/>
      </w:tblGrid>
      <w:tr w14:paraId="7F806D6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0" w:hRule="atLeast"/>
        </w:trPr>
        <w:tc>
          <w:tcPr>
            <w:tcW w:w="2115" w:type="dxa"/>
            <w:tcBorders>
              <w:top w:val="single" w:color="000000" w:sz="6" w:space="0"/>
              <w:left w:val="single" w:color="000000" w:sz="6" w:space="0"/>
              <w:bottom w:val="single" w:color="000000" w:sz="6" w:space="0"/>
              <w:right w:val="single" w:color="000000" w:sz="6" w:space="0"/>
            </w:tcBorders>
            <w:vAlign w:val="center"/>
          </w:tcPr>
          <w:p w14:paraId="410B679B">
            <w:pPr>
              <w:spacing w:line="240" w:lineRule="auto"/>
              <w:jc w:val="center"/>
            </w:pPr>
            <w:r>
              <w:rPr>
                <w:color w:val="000000"/>
                <w:sz w:val="28"/>
              </w:rPr>
              <w:t>作品名称</w:t>
            </w:r>
          </w:p>
        </w:tc>
        <w:tc>
          <w:tcPr>
            <w:tcW w:w="10320" w:type="dxa"/>
            <w:tcBorders>
              <w:top w:val="single" w:color="000000" w:sz="6" w:space="0"/>
              <w:left w:val="single" w:color="000000" w:sz="6" w:space="0"/>
              <w:bottom w:val="single" w:color="000000" w:sz="6" w:space="0"/>
              <w:right w:val="single" w:color="000000" w:sz="6" w:space="0"/>
            </w:tcBorders>
            <w:vAlign w:val="top"/>
          </w:tcPr>
          <w:p w14:paraId="2D1A1B06">
            <w:r>
              <w:rPr>
                <w:color w:val="000000"/>
                <w:sz w:val="28"/>
              </w:rPr>
              <w:t xml:space="preserve"> </w:t>
            </w:r>
          </w:p>
        </w:tc>
      </w:tr>
      <w:tr w14:paraId="362B2BE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0" w:hRule="atLeast"/>
        </w:trPr>
        <w:tc>
          <w:tcPr>
            <w:tcW w:w="2115" w:type="dxa"/>
            <w:tcBorders>
              <w:left w:val="single" w:color="000000" w:sz="6" w:space="0"/>
              <w:bottom w:val="single" w:color="000000" w:sz="6" w:space="0"/>
              <w:right w:val="single" w:color="000000" w:sz="6" w:space="0"/>
            </w:tcBorders>
            <w:vAlign w:val="center"/>
          </w:tcPr>
          <w:p w14:paraId="274E3516">
            <w:pPr>
              <w:spacing w:line="240" w:lineRule="auto"/>
              <w:jc w:val="center"/>
            </w:pPr>
            <w:r>
              <w:rPr>
                <w:color w:val="000000"/>
                <w:sz w:val="28"/>
              </w:rPr>
              <w:t>主要功能</w:t>
            </w:r>
          </w:p>
        </w:tc>
        <w:tc>
          <w:tcPr>
            <w:tcW w:w="10320" w:type="dxa"/>
            <w:tcBorders>
              <w:left w:val="single" w:color="000000" w:sz="6" w:space="0"/>
              <w:bottom w:val="single" w:color="000000" w:sz="6" w:space="0"/>
              <w:right w:val="single" w:color="000000" w:sz="6" w:space="0"/>
            </w:tcBorders>
            <w:vAlign w:val="top"/>
          </w:tcPr>
          <w:p w14:paraId="5D47CA58">
            <w:pPr>
              <w:numPr>
                <w:ilvl w:val="0"/>
                <w:numId w:val="1"/>
              </w:numPr>
              <w:jc w:val="left"/>
            </w:pPr>
            <w:r>
              <w:rPr>
                <w:b/>
                <w:color w:val="000000"/>
                <w:sz w:val="24"/>
              </w:rPr>
              <w:t>运动控制：利用尾部与两侧的矢量推进器</w:t>
            </w:r>
            <w:r>
              <w:rPr>
                <w:color w:val="000000"/>
                <w:sz w:val="24"/>
              </w:rPr>
              <w:t xml:space="preserve">实现基本动作：前进、后退、左旋、右旋、左移、右移、上浮、下潜以及特技动作：翻滚、绕桩、穿门径航行，子弹前进等。 </w:t>
            </w:r>
          </w:p>
          <w:p w14:paraId="01AA54AB">
            <w:pPr>
              <w:numPr>
                <w:ilvl w:val="0"/>
                <w:numId w:val="1"/>
              </w:numPr>
              <w:jc w:val="left"/>
            </w:pPr>
            <w:r>
              <w:rPr>
                <w:color w:val="000000"/>
                <w:sz w:val="24"/>
              </w:rPr>
              <w:t>电源保护：航行器内搭载自制水下专用电源管理板，满足推进器的大电流支持，同时有短路保护，浪涌电流缓启动保护，舱体漏水保护功能</w:t>
            </w:r>
          </w:p>
          <w:p w14:paraId="189294EA">
            <w:pPr>
              <w:numPr>
                <w:ilvl w:val="0"/>
                <w:numId w:val="1"/>
              </w:numPr>
              <w:jc w:val="left"/>
            </w:pPr>
            <w:r>
              <w:rPr>
                <w:color w:val="000000"/>
                <w:sz w:val="24"/>
              </w:rPr>
              <w:t>上位机界面：通过自制的软件界面与航行器进行信息交互，显示航行器的各类信息参数</w:t>
            </w:r>
          </w:p>
          <w:p w14:paraId="1933E714">
            <w:pPr>
              <w:numPr>
                <w:ilvl w:val="0"/>
                <w:numId w:val="1"/>
              </w:numPr>
              <w:jc w:val="left"/>
            </w:pPr>
            <w:r>
              <w:rPr>
                <w:color w:val="000000"/>
                <w:sz w:val="24"/>
              </w:rPr>
              <w:t>图像检测：搭载分辨率1920*1080的高清摄像头，配合图像识别技术与水下图像增强技术，可以完成水下生物识别任务</w:t>
            </w:r>
          </w:p>
          <w:p w14:paraId="0EA287E2">
            <w:pPr>
              <w:numPr>
                <w:ilvl w:val="0"/>
                <w:numId w:val="1"/>
              </w:numPr>
              <w:jc w:val="left"/>
            </w:pPr>
            <w:r>
              <w:rPr>
                <w:color w:val="000000"/>
                <w:sz w:val="24"/>
              </w:rPr>
              <w:t>航行GPT助手：上位机通过嵌入语言大模型，方便使用者使用</w:t>
            </w:r>
          </w:p>
          <w:p w14:paraId="11B064D1">
            <w:pPr>
              <w:numPr>
                <w:ilvl w:val="0"/>
                <w:numId w:val="1"/>
              </w:numPr>
              <w:jc w:val="left"/>
            </w:pPr>
            <w:r>
              <w:rPr>
                <w:color w:val="000000"/>
                <w:sz w:val="24"/>
              </w:rPr>
              <w:t>数据检测：航行器搭载多类水下传感器，可以实时监测水下信息，信息包括：水下ph，水质，温度，航行器压强，航行器位置，电池电压等。</w:t>
            </w:r>
          </w:p>
          <w:p w14:paraId="37E7B0AB">
            <w:pPr>
              <w:numPr>
                <w:ilvl w:val="0"/>
                <w:numId w:val="1"/>
              </w:numPr>
              <w:jc w:val="left"/>
            </w:pPr>
            <w:r>
              <w:rPr>
                <w:color w:val="000000"/>
                <w:sz w:val="24"/>
              </w:rPr>
              <w:t>机械臂体感抓取：通过动作捕捉技术捕捉操作者手臂信息，反馈给机械臂进行实时体感抓取</w:t>
            </w:r>
          </w:p>
        </w:tc>
      </w:tr>
      <w:tr w14:paraId="6506EA7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0" w:hRule="atLeast"/>
        </w:trPr>
        <w:tc>
          <w:tcPr>
            <w:tcW w:w="2115" w:type="dxa"/>
            <w:tcBorders>
              <w:left w:val="single" w:color="000000" w:sz="6" w:space="0"/>
              <w:bottom w:val="single" w:color="000000" w:sz="6" w:space="0"/>
              <w:right w:val="single" w:color="000000" w:sz="6" w:space="0"/>
            </w:tcBorders>
            <w:vAlign w:val="center"/>
          </w:tcPr>
          <w:p w14:paraId="1595A698">
            <w:pPr>
              <w:spacing w:line="240" w:lineRule="auto"/>
              <w:jc w:val="center"/>
            </w:pPr>
            <w:r>
              <w:rPr>
                <w:color w:val="000000"/>
                <w:sz w:val="28"/>
              </w:rPr>
              <w:t>创新点</w:t>
            </w:r>
          </w:p>
        </w:tc>
        <w:tc>
          <w:tcPr>
            <w:tcW w:w="10320" w:type="dxa"/>
            <w:tcBorders>
              <w:left w:val="single" w:color="000000" w:sz="6" w:space="0"/>
              <w:bottom w:val="single" w:color="000000" w:sz="6" w:space="0"/>
              <w:right w:val="single" w:color="000000" w:sz="6" w:space="0"/>
            </w:tcBorders>
            <w:vAlign w:val="top"/>
          </w:tcPr>
          <w:p w14:paraId="1FCCF949">
            <w:pPr>
              <w:numPr>
                <w:ilvl w:val="0"/>
                <w:numId w:val="2"/>
              </w:numPr>
              <w:jc w:val="left"/>
            </w:pPr>
            <w:r>
              <w:rPr>
                <w:color w:val="000000"/>
                <w:sz w:val="24"/>
              </w:rPr>
              <w:t>航行器采用先进的矢量推进技术，通过三个矢量推进器的配合完成运动，成本更低，灵活性更高</w:t>
            </w:r>
          </w:p>
          <w:p w14:paraId="71299760">
            <w:pPr>
              <w:numPr>
                <w:ilvl w:val="0"/>
                <w:numId w:val="2"/>
              </w:numPr>
              <w:jc w:val="left"/>
            </w:pPr>
            <w:r>
              <w:rPr>
                <w:color w:val="000000"/>
                <w:sz w:val="24"/>
              </w:rPr>
              <w:t>使用无线充电技术，避免了由于开舱带来的麻烦与安全隐患</w:t>
            </w:r>
          </w:p>
          <w:p w14:paraId="5D35EBD7">
            <w:pPr>
              <w:numPr>
                <w:ilvl w:val="0"/>
                <w:numId w:val="2"/>
              </w:numPr>
              <w:jc w:val="left"/>
            </w:pPr>
            <w:r>
              <w:rPr>
                <w:color w:val="000000"/>
                <w:sz w:val="24"/>
              </w:rPr>
              <w:t>采用全新的机械臂抓取技术，体感控制降低学习与适应成本</w:t>
            </w:r>
          </w:p>
          <w:p w14:paraId="3B57D19A">
            <w:pPr>
              <w:numPr>
                <w:ilvl w:val="0"/>
                <w:numId w:val="2"/>
              </w:numPr>
              <w:jc w:val="left"/>
            </w:pPr>
            <w:r>
              <w:rPr>
                <w:color w:val="000000"/>
                <w:sz w:val="24"/>
              </w:rPr>
              <w:t>采用快拆设计与模块化设计，方便进行维修与拆装</w:t>
            </w:r>
          </w:p>
          <w:p w14:paraId="3BE311A6">
            <w:r>
              <w:rPr>
                <w:color w:val="000000"/>
                <w:sz w:val="28"/>
              </w:rPr>
              <w:t xml:space="preserve"> </w:t>
            </w:r>
          </w:p>
          <w:p w14:paraId="75B90964">
            <w:r>
              <w:rPr>
                <w:color w:val="000000"/>
                <w:sz w:val="28"/>
              </w:rPr>
              <w:t xml:space="preserve"> </w:t>
            </w:r>
          </w:p>
          <w:p w14:paraId="05711BE2">
            <w:r>
              <w:rPr>
                <w:color w:val="000000"/>
                <w:sz w:val="28"/>
              </w:rPr>
              <w:t xml:space="preserve"> </w:t>
            </w:r>
          </w:p>
        </w:tc>
      </w:tr>
      <w:tr w14:paraId="55FD730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0" w:hRule="atLeast"/>
        </w:trPr>
        <w:tc>
          <w:tcPr>
            <w:tcW w:w="2115" w:type="dxa"/>
            <w:tcBorders>
              <w:left w:val="single" w:color="000000" w:sz="6" w:space="0"/>
              <w:bottom w:val="single" w:color="000000" w:sz="6" w:space="0"/>
              <w:right w:val="single" w:color="000000" w:sz="6" w:space="0"/>
            </w:tcBorders>
            <w:vAlign w:val="center"/>
          </w:tcPr>
          <w:p w14:paraId="7A7EC9D7">
            <w:pPr>
              <w:spacing w:line="240" w:lineRule="auto"/>
              <w:jc w:val="center"/>
            </w:pPr>
            <w:r>
              <w:rPr>
                <w:color w:val="000000"/>
                <w:sz w:val="28"/>
              </w:rPr>
              <w:t>国内外水平对比</w:t>
            </w:r>
          </w:p>
        </w:tc>
        <w:tc>
          <w:tcPr>
            <w:tcW w:w="10320" w:type="dxa"/>
            <w:tcBorders>
              <w:left w:val="single" w:color="000000" w:sz="6" w:space="0"/>
              <w:bottom w:val="single" w:color="000000" w:sz="6" w:space="0"/>
              <w:right w:val="single" w:color="000000" w:sz="6" w:space="0"/>
            </w:tcBorders>
            <w:vAlign w:val="top"/>
          </w:tcPr>
          <w:p w14:paraId="40E8AE3B">
            <w:r>
              <w:rPr>
                <w:color w:val="000000"/>
                <w:sz w:val="28"/>
              </w:rPr>
              <w:t xml:space="preserve"> “</w:t>
            </w:r>
            <w:r>
              <w:rPr>
                <w:color w:val="000000"/>
                <w:sz w:val="24"/>
              </w:rPr>
              <w:t>海驭001”采用全新的矢量推进运动控制方案，采用模块化设计，吸纳先进的动作捕捉技术、人工智能技术、惯导融合技术、物联网技术、图像处理技术于一体，可以在高灵活度的基础上搭载各类载荷，方便不同水下项目的需求</w:t>
            </w:r>
          </w:p>
        </w:tc>
      </w:tr>
      <w:tr w14:paraId="531680C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0" w:hRule="atLeast"/>
        </w:trPr>
        <w:tc>
          <w:tcPr>
            <w:tcW w:w="2115" w:type="dxa"/>
            <w:tcBorders>
              <w:left w:val="single" w:color="000000" w:sz="6" w:space="0"/>
              <w:bottom w:val="single" w:color="000000" w:sz="6" w:space="0"/>
              <w:right w:val="single" w:color="000000" w:sz="6" w:space="0"/>
            </w:tcBorders>
            <w:vAlign w:val="center"/>
          </w:tcPr>
          <w:p w14:paraId="05FD2511">
            <w:pPr>
              <w:spacing w:line="240" w:lineRule="auto"/>
              <w:jc w:val="center"/>
            </w:pPr>
            <w:r>
              <w:rPr>
                <w:color w:val="000000"/>
                <w:sz w:val="28"/>
              </w:rPr>
              <w:t>应用前景</w:t>
            </w:r>
          </w:p>
        </w:tc>
        <w:tc>
          <w:tcPr>
            <w:tcW w:w="10320" w:type="dxa"/>
            <w:tcBorders>
              <w:left w:val="single" w:color="000000" w:sz="6" w:space="0"/>
              <w:bottom w:val="single" w:color="000000" w:sz="6" w:space="0"/>
              <w:right w:val="single" w:color="000000" w:sz="6" w:space="0"/>
            </w:tcBorders>
            <w:vAlign w:val="top"/>
          </w:tcPr>
          <w:p w14:paraId="7C536837">
            <w:r>
              <w:rPr>
                <w:color w:val="000000"/>
                <w:sz w:val="28"/>
              </w:rPr>
              <w:t xml:space="preserve"> </w:t>
            </w:r>
          </w:p>
          <w:p w14:paraId="1C7C6625">
            <w:r>
              <w:rPr>
                <w:color w:val="000000"/>
                <w:sz w:val="28"/>
              </w:rPr>
              <w:t xml:space="preserve"> </w:t>
            </w:r>
          </w:p>
          <w:p w14:paraId="77109C75">
            <w:r>
              <w:rPr>
                <w:color w:val="000000"/>
                <w:sz w:val="28"/>
              </w:rPr>
              <w:t xml:space="preserve"> </w:t>
            </w:r>
          </w:p>
          <w:p w14:paraId="3030E6F1">
            <w:r>
              <w:rPr>
                <w:color w:val="000000"/>
                <w:sz w:val="28"/>
              </w:rPr>
              <w:t xml:space="preserve"> </w:t>
            </w:r>
          </w:p>
        </w:tc>
      </w:tr>
      <w:tr w14:paraId="36EE5BE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1710" w:hRule="atLeast"/>
        </w:trPr>
        <w:tc>
          <w:tcPr>
            <w:tcW w:w="2115" w:type="dxa"/>
            <w:tcBorders>
              <w:left w:val="single" w:color="000000" w:sz="6" w:space="0"/>
              <w:bottom w:val="single" w:color="000000" w:sz="6" w:space="0"/>
              <w:right w:val="single" w:color="000000" w:sz="6" w:space="0"/>
            </w:tcBorders>
            <w:vAlign w:val="center"/>
          </w:tcPr>
          <w:p w14:paraId="2AC10622">
            <w:pPr>
              <w:spacing w:line="240" w:lineRule="auto"/>
              <w:jc w:val="center"/>
            </w:pPr>
            <w:r>
              <w:rPr>
                <w:color w:val="000000"/>
                <w:sz w:val="28"/>
              </w:rPr>
              <w:t>其他</w:t>
            </w:r>
          </w:p>
        </w:tc>
        <w:tc>
          <w:tcPr>
            <w:tcW w:w="10320" w:type="dxa"/>
            <w:tcBorders>
              <w:left w:val="single" w:color="000000" w:sz="6" w:space="0"/>
              <w:bottom w:val="single" w:color="000000" w:sz="6" w:space="0"/>
              <w:right w:val="single" w:color="000000" w:sz="6" w:space="0"/>
            </w:tcBorders>
            <w:vAlign w:val="top"/>
          </w:tcPr>
          <w:p w14:paraId="7D8E0971">
            <w:r>
              <w:rPr>
                <w:color w:val="000000"/>
                <w:sz w:val="28"/>
              </w:rPr>
              <w:t xml:space="preserve"> </w:t>
            </w:r>
          </w:p>
          <w:p w14:paraId="6945DDBF">
            <w:pPr>
              <w:numPr>
                <w:ilvl w:val="0"/>
                <w:numId w:val="1"/>
              </w:numPr>
              <w:jc w:val="left"/>
            </w:pPr>
            <w:r>
              <w:rPr>
                <w:color w:val="000000"/>
                <w:sz w:val="28"/>
              </w:rPr>
              <w:t>“海驭001”自制比例高达95％</w:t>
            </w:r>
          </w:p>
          <w:p w14:paraId="34E0D552">
            <w:pPr>
              <w:numPr>
                <w:ilvl w:val="0"/>
                <w:numId w:val="1"/>
              </w:numPr>
              <w:jc w:val="left"/>
            </w:pPr>
            <w:r>
              <w:rPr>
                <w:color w:val="000000"/>
                <w:sz w:val="28"/>
              </w:rPr>
              <w:t>所选用的材料为碳纤维pla复合材料，坚韧环保，强度高</w:t>
            </w:r>
          </w:p>
          <w:p w14:paraId="470E0792">
            <w:pPr>
              <w:numPr>
                <w:ilvl w:val="0"/>
                <w:numId w:val="1"/>
              </w:numPr>
              <w:jc w:val="left"/>
            </w:pPr>
            <w:r>
              <w:rPr>
                <w:color w:val="000000"/>
                <w:sz w:val="28"/>
              </w:rPr>
              <w:t>电源管理板采用缓启动与各类保护，安全可靠</w:t>
            </w:r>
          </w:p>
          <w:p w14:paraId="6228E13B">
            <w:r>
              <w:rPr>
                <w:color w:val="000000"/>
                <w:sz w:val="28"/>
              </w:rPr>
              <w:t xml:space="preserve"> </w:t>
            </w:r>
          </w:p>
        </w:tc>
      </w:tr>
    </w:tbl>
    <w:p w14:paraId="1FD73461"/>
    <w:p w14:paraId="0135B910">
      <w:pPr>
        <w:spacing w:line="240" w:lineRule="auto"/>
        <w:jc w:val="center"/>
      </w:pPr>
      <w:r>
        <w:rPr>
          <w:color w:val="000000"/>
          <w:sz w:val="36"/>
        </w:rPr>
        <w:t>参赛作品说明</w:t>
      </w:r>
    </w:p>
    <w:tbl>
      <w:tblPr>
        <w:tblStyle w:val="5"/>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autofit"/>
        <w:tblCellMar>
          <w:top w:w="0" w:type="dxa"/>
          <w:left w:w="108" w:type="dxa"/>
          <w:bottom w:w="0" w:type="dxa"/>
          <w:right w:w="108" w:type="dxa"/>
        </w:tblCellMar>
      </w:tblPr>
      <w:tblGrid>
        <w:gridCol w:w="13276"/>
      </w:tblGrid>
      <w:tr w14:paraId="0D54DB7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12829" w:hRule="atLeast"/>
        </w:trPr>
        <w:tc>
          <w:tcPr>
            <w:tcW w:w="13275" w:type="dxa"/>
            <w:tcBorders>
              <w:top w:val="single" w:color="000000" w:sz="6" w:space="0"/>
              <w:left w:val="single" w:color="000000" w:sz="6" w:space="0"/>
              <w:bottom w:val="single" w:color="000000" w:sz="6" w:space="0"/>
              <w:right w:val="single" w:color="000000" w:sz="6" w:space="0"/>
            </w:tcBorders>
            <w:vAlign w:val="top"/>
          </w:tcPr>
          <w:p w14:paraId="0F1A964B">
            <w:pPr>
              <w:spacing w:line="276" w:lineRule="auto"/>
            </w:pPr>
            <w:r>
              <w:rPr>
                <w:color w:val="000000"/>
                <w:sz w:val="24"/>
              </w:rPr>
              <w:t>内容包括：作品名称、背景或选题意义、创新点、具体的系统设计原理、支撑作品的现有理论与技术、应用前景、对后续工作意见建议、参考文献、附图及数据等（参照比赛评分细则中对各项目的不同要求）。字数不限，可加页。</w:t>
            </w:r>
          </w:p>
          <w:p w14:paraId="7D53C9D5">
            <w:pPr>
              <w:spacing w:line="276" w:lineRule="auto"/>
            </w:pPr>
            <w:r>
              <w:rPr>
                <w:b/>
                <w:color w:val="000000"/>
                <w:sz w:val="30"/>
              </w:rPr>
              <w:t>2.2上位机系统：</w:t>
            </w:r>
          </w:p>
          <w:p w14:paraId="0B5343FA">
            <w:pPr>
              <w:spacing w:line="276" w:lineRule="auto"/>
            </w:pPr>
            <w:r>
              <w:rPr>
                <w:b/>
                <w:color w:val="000000"/>
                <w:sz w:val="24"/>
              </w:rPr>
              <w:t>2.2.1 上位机概述：</w:t>
            </w:r>
          </w:p>
          <w:p w14:paraId="1F1DBB34">
            <w:pPr>
              <w:spacing w:line="276" w:lineRule="auto"/>
            </w:pPr>
            <w:r>
              <w:rPr>
                <w:color w:val="000000"/>
                <w:sz w:val="24"/>
              </w:rPr>
              <w:t>“海驭001”上位机主要功能为与航行器下位机进行数据交换，从下位机获取各传感器数据，以可视化形式展示出来，并控制航行器移动。上位机结构主要分为五个部分：通信模块、视频图像模块、数据显示模块、模型助手模块、网页显示模块，开发环境及工具包括但不限于PyQt5、Qt Designer、OpenCV、pygame、pytorch、flask、socket等。①通信模块：运用python的pyserial模块实现上位机的有线串口通信功能，通过socket模块实现上位机与树莓派之间的基于TCP协议的无线通信，树莓派端同样通过pyserial与单片机通信。②视频图像：树莓派端使用flask模块搭建简易web应用，将摄像头图像通过对应ip传输，上位机通过opencv-python获取视频数据并显示，实现了图像处理、图像增强、截屏、录屏等功能，通过调用团队自主训练的基于Yolov5的模型，实现图像检测功能。③实时数据：该部分将从下位机获取的数据实时显示出来，并同时以可视化图像的形式直观展示。④模型助手：通过调用讯飞星火认知大模型API，实现</w:t>
            </w:r>
            <w:r>
              <w:rPr>
                <w:color w:val="000000"/>
                <w:spacing w:val="7"/>
                <w:sz w:val="24"/>
              </w:rPr>
              <w:t>语言理解、知识问答、代码编写、逻辑推理、数学解题等多元能力。⑤网页显示：默认显示百度地图页面，实时显示当前位置，除此之外还可通过输入网址跳转对应网站，实现小型浏览器功能。</w:t>
            </w:r>
          </w:p>
          <w:p w14:paraId="638C0D41">
            <w:r>
              <w:rPr>
                <w:b/>
                <w:color w:val="000000"/>
                <w:sz w:val="24"/>
              </w:rPr>
              <w:t>2.2.2 通信模块：</w:t>
            </w:r>
          </w:p>
          <w:p w14:paraId="25A13F8F">
            <w:r>
              <w:rPr>
                <w:color w:val="000000"/>
                <w:sz w:val="24"/>
              </w:rPr>
              <w:t>通信基本架构如下图所示</w:t>
            </w:r>
          </w:p>
          <w:p w14:paraId="0DFC0934">
            <w:r>
              <w:drawing>
                <wp:inline distT="0" distB="0" distL="0" distR="0">
                  <wp:extent cx="4867275" cy="2676525"/>
                  <wp:effectExtent l="0" t="0" r="0" b="0"/>
                  <wp:docPr id="1" name="图片 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4"/>
                          <a:stretch>
                            <a:fillRect/>
                          </a:stretch>
                        </pic:blipFill>
                        <pic:spPr>
                          <a:xfrm>
                            <a:off x="0" y="0"/>
                            <a:ext cx="4867275" cy="2676525"/>
                          </a:xfrm>
                          <a:prstGeom prst="rect">
                            <a:avLst/>
                          </a:prstGeom>
                        </pic:spPr>
                      </pic:pic>
                    </a:graphicData>
                  </a:graphic>
                </wp:inline>
              </w:drawing>
            </w:r>
          </w:p>
          <w:p w14:paraId="7EB75946">
            <w:r>
              <w:rPr>
                <w:color w:val="000000"/>
                <w:sz w:val="24"/>
              </w:rPr>
              <w:t>“海驭001”上下位机通信方式主要为无线通信，树莓派通过网线与路由器模块进行直接连接，路由器自动分配IP地址，上位机通过WIFI连接路由器，并通过对应IP端口实现TCP通信。</w:t>
            </w:r>
          </w:p>
          <w:p w14:paraId="5366C281">
            <w:r>
              <w:rPr>
                <w:color w:val="000000"/>
                <w:sz w:val="24"/>
              </w:rPr>
              <w:t>树莓派作为TCP协议的服务端，上位机为客户端，通过socket模块实现通信，体感模块通过无线串口通信，遥控手柄通过2.4G接收机或蓝牙无线通信，也可通过USB线缆连接，实现全无线连接。树莓派与摄像头通过CSI软线连接，树莓派与单片机通过CH340USB转TTL模块连接，通过pyserial实现通信。单片机与各类传感器均为有线连接，通过IIC、UART、模拟信号等协议进行数据读取。整体遥控过程为：上位机接收手柄数据，将其传输到树莓派，树莓派有线传给单片机，单片机解析数据对舵机角度和电机转速进行调整，实现遥控。数据传回上位机过程为：单片机读取个传感器数据，通过串口传给树莓派，树莓派将数据整合发送给上位机进行显示。</w:t>
            </w:r>
          </w:p>
          <w:p w14:paraId="476D4FAB">
            <w:r>
              <w:rPr>
                <w:color w:val="000000"/>
                <w:sz w:val="24"/>
              </w:rPr>
              <w:t>以上数据通信延时均在毫秒量级，具有很强的实时性，同时复杂的数据处理过程在性能更强的上位机进行，以减少处理延时。</w:t>
            </w:r>
          </w:p>
          <w:p w14:paraId="46999436">
            <w:r>
              <w:rPr>
                <w:b/>
                <w:color w:val="000000"/>
                <w:sz w:val="24"/>
              </w:rPr>
              <w:t>2.2.2 视频图像模块：</w:t>
            </w:r>
          </w:p>
          <w:p w14:paraId="26661FC2">
            <w:r>
              <w:rPr>
                <w:color w:val="000000"/>
                <w:sz w:val="24"/>
              </w:rPr>
              <w:t>视频图像模块由以下部分组成：摄像头模块，目标识别模块，视觉增强模块。</w:t>
            </w:r>
          </w:p>
          <w:p w14:paraId="2BB684EE">
            <w:r>
              <w:rPr>
                <w:color w:val="000000"/>
                <w:sz w:val="24"/>
              </w:rPr>
              <w:t>摄像头模块：</w:t>
            </w:r>
          </w:p>
          <w:p w14:paraId="29E55DEA">
            <w:r>
              <w:rPr>
                <w:color w:val="000000"/>
                <w:sz w:val="24"/>
              </w:rPr>
              <w:t>1.摄像头参数：</w:t>
            </w:r>
          </w:p>
          <w:p w14:paraId="100B5BD5">
            <w:r>
              <w:drawing>
                <wp:inline distT="0" distB="0" distL="114300" distR="114300">
                  <wp:extent cx="8293100" cy="654050"/>
                  <wp:effectExtent l="0" t="0" r="0" b="635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5"/>
                          <a:stretch>
                            <a:fillRect/>
                          </a:stretch>
                        </pic:blipFill>
                        <pic:spPr>
                          <a:xfrm>
                            <a:off x="0" y="0"/>
                            <a:ext cx="8293100" cy="654050"/>
                          </a:xfrm>
                          <a:prstGeom prst="rect">
                            <a:avLst/>
                          </a:prstGeom>
                          <a:noFill/>
                          <a:ln>
                            <a:noFill/>
                          </a:ln>
                        </pic:spPr>
                      </pic:pic>
                    </a:graphicData>
                  </a:graphic>
                </wp:inline>
              </w:drawing>
            </w:r>
            <w:r>
              <w:rPr>
                <w:color w:val="000000"/>
                <w:sz w:val="24"/>
              </w:rPr>
              <w:t>树莓派端通过picamera2模块获取CSI摄像头图像，通过flask搭建web显示图像，上位机端通过OpenCV的VideoCapture类对指定URL进行图像读取，同时任意设备均可通过连接路由器访问相关URL获取实时图像。</w:t>
            </w:r>
          </w:p>
          <w:p w14:paraId="6D5D9FFE">
            <w:r>
              <w:rPr>
                <w:color w:val="000000"/>
                <w:sz w:val="24"/>
              </w:rPr>
              <w:t>2.目标识别模块：</w:t>
            </w:r>
          </w:p>
          <w:p w14:paraId="18690251">
            <w:pPr>
              <w:jc w:val="center"/>
            </w:pPr>
            <w:r>
              <w:drawing>
                <wp:inline distT="0" distB="0" distL="0" distR="0">
                  <wp:extent cx="4404360" cy="2531110"/>
                  <wp:effectExtent l="0" t="0" r="2540" b="8890"/>
                  <wp:docPr id="2" name="image.png"/>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6"/>
                          <a:stretch>
                            <a:fillRect/>
                          </a:stretch>
                        </pic:blipFill>
                        <pic:spPr>
                          <a:xfrm>
                            <a:off x="0" y="0"/>
                            <a:ext cx="4404360" cy="2531110"/>
                          </a:xfrm>
                          <a:prstGeom prst="rect">
                            <a:avLst/>
                          </a:prstGeom>
                        </pic:spPr>
                      </pic:pic>
                    </a:graphicData>
                  </a:graphic>
                </wp:inline>
              </w:drawing>
            </w:r>
          </w:p>
          <w:p w14:paraId="3CA37CFE">
            <w:r>
              <w:rPr>
                <w:color w:val="000000"/>
                <w:sz w:val="24"/>
              </w:rPr>
              <w:t>“海驭001”采用并改进了基于深度学习的目标检测算法——</w:t>
            </w:r>
            <w:r>
              <w:t xml:space="preserve">YOLOv5 </w:t>
            </w:r>
            <w:r>
              <w:rPr>
                <w:color w:val="000000"/>
                <w:sz w:val="24"/>
              </w:rPr>
              <w:t>，相比于其他的检测算法，具有：</w:t>
            </w:r>
          </w:p>
          <w:p w14:paraId="46531E76">
            <w:pPr>
              <w:numPr>
                <w:ilvl w:val="0"/>
                <w:numId w:val="3"/>
              </w:numPr>
            </w:pPr>
            <w:r>
              <w:rPr>
                <w:b/>
                <w:color w:val="000000"/>
                <w:sz w:val="24"/>
              </w:rPr>
              <w:t>高精度与高速度的平衡</w:t>
            </w:r>
          </w:p>
          <w:p w14:paraId="5D18D108">
            <w:r>
              <w:rPr>
                <w:color w:val="000000"/>
                <w:sz w:val="24"/>
              </w:rPr>
              <w:t>做到了</w:t>
            </w:r>
            <w:r>
              <w:t>高精度与高速度间的平衡，在保持较高检测精度的同时，具备更快的检测速度。</w:t>
            </w:r>
          </w:p>
          <w:p w14:paraId="63388C6C">
            <w:pPr>
              <w:numPr>
                <w:ilvl w:val="0"/>
                <w:numId w:val="4"/>
              </w:numPr>
            </w:pPr>
            <w:r>
              <w:rPr>
                <w:b/>
              </w:rPr>
              <w:t>轻量化与易用性</w:t>
            </w:r>
          </w:p>
          <w:p w14:paraId="2B64C66A">
            <w:r>
              <w:t>同时，</w:t>
            </w:r>
            <w:r>
              <w:rPr>
                <w:color w:val="000000"/>
                <w:sz w:val="24"/>
              </w:rPr>
              <w:t>YOLOv5 是 YOLO 系列中最轻量化的版本之一，模型大小和计算复杂度均有所降低，这使得 YOLOv5 能够在资源受限的设备上运行。</w:t>
            </w:r>
          </w:p>
          <w:p w14:paraId="4EE84724">
            <w:r>
              <w:rPr>
                <w:color w:val="000000"/>
                <w:sz w:val="24"/>
              </w:rPr>
              <w:t>利用该模型，将摄像头实时传输的画面进行物体识别。</w:t>
            </w:r>
          </w:p>
          <w:p w14:paraId="6DC3F4D9"/>
          <w:p w14:paraId="7BE65BC6">
            <w:r>
              <w:rPr>
                <w:color w:val="000000"/>
                <w:sz w:val="24"/>
              </w:rPr>
              <w:t>为了满足现场演示需求和模拟实际生产环境，视频图像模块的数据集包含了不同光照条件下的水下图像。具体分为训练集和测试集，分别包含明亮和昏暗环境下的图像。</w:t>
            </w:r>
          </w:p>
          <w:p w14:paraId="44F73744">
            <w:r>
              <w:rPr>
                <w:color w:val="000000"/>
                <w:sz w:val="24"/>
              </w:rPr>
              <w:t>训练集采用：</w:t>
            </w:r>
          </w:p>
          <w:p w14:paraId="17C568C6">
            <w:pPr>
              <w:numPr>
                <w:ilvl w:val="0"/>
                <w:numId w:val="5"/>
              </w:numPr>
            </w:pPr>
            <w:r>
              <w:rPr>
                <w:b/>
                <w:color w:val="000000"/>
                <w:sz w:val="24"/>
              </w:rPr>
              <w:t>1500张水下较明亮的图像：</w:t>
            </w:r>
            <w:r>
              <w:rPr>
                <w:color w:val="000000"/>
                <w:sz w:val="24"/>
              </w:rPr>
              <w:t>这些图像在较好的光照条件下拍摄，目的是模拟现场演示时的环境。</w:t>
            </w:r>
          </w:p>
          <w:p w14:paraId="2266B17A">
            <w:pPr>
              <w:numPr>
                <w:ilvl w:val="0"/>
                <w:numId w:val="5"/>
              </w:numPr>
            </w:pPr>
            <w:r>
              <w:rPr>
                <w:b/>
                <w:color w:val="000000"/>
                <w:sz w:val="24"/>
              </w:rPr>
              <w:t>1500张水下较昏暗的图像：</w:t>
            </w:r>
            <w:r>
              <w:rPr>
                <w:color w:val="000000"/>
                <w:sz w:val="24"/>
              </w:rPr>
              <w:t>这些图像在较差的光照条件下拍摄，目的是模拟实际生产中的水下作业环境。</w:t>
            </w:r>
          </w:p>
          <w:p w14:paraId="42C14D39">
            <w:r>
              <w:rPr>
                <w:color w:val="000000"/>
                <w:sz w:val="24"/>
              </w:rPr>
              <w:t>测试集采用：</w:t>
            </w:r>
          </w:p>
          <w:p w14:paraId="2A52E553">
            <w:pPr>
              <w:numPr>
                <w:ilvl w:val="0"/>
                <w:numId w:val="6"/>
              </w:numPr>
            </w:pPr>
            <w:r>
              <w:rPr>
                <w:b/>
                <w:color w:val="000000"/>
                <w:sz w:val="24"/>
              </w:rPr>
              <w:t>300张水下较明亮的图像：</w:t>
            </w:r>
            <w:r>
              <w:rPr>
                <w:color w:val="000000"/>
                <w:sz w:val="24"/>
              </w:rPr>
              <w:t>用于测试模型在较好的光照条件下的目标识别性能。</w:t>
            </w:r>
          </w:p>
          <w:p w14:paraId="79056EF2">
            <w:pPr>
              <w:numPr>
                <w:ilvl w:val="0"/>
                <w:numId w:val="6"/>
              </w:numPr>
            </w:pPr>
            <w:r>
              <w:rPr>
                <w:b/>
                <w:color w:val="000000"/>
                <w:sz w:val="24"/>
              </w:rPr>
              <w:t>300张水下较昏暗的图像：</w:t>
            </w:r>
            <w:r>
              <w:rPr>
                <w:color w:val="000000"/>
                <w:sz w:val="24"/>
              </w:rPr>
              <w:t>用于测试模型在较差的光照条件下的目标识别性能。</w:t>
            </w:r>
          </w:p>
          <w:p w14:paraId="376A58C5">
            <w:r>
              <w:rPr>
                <w:color w:val="000000"/>
                <w:sz w:val="24"/>
              </w:rPr>
              <w:t>Batch_Size选择32，运行100个epoch，得到最终模型。</w:t>
            </w:r>
          </w:p>
          <w:p w14:paraId="52C0D87D">
            <w:r>
              <w:rPr>
                <w:color w:val="000000"/>
                <w:sz w:val="24"/>
              </w:rPr>
              <w:t>利用训练完成的权重文件进行检测，检测结果显示在上位机界面，如图所示。</w:t>
            </w:r>
          </w:p>
          <w:p w14:paraId="79CD81F2"/>
          <w:p w14:paraId="7BC719C6"/>
          <w:p w14:paraId="467DBDBB">
            <w:r>
              <w:rPr>
                <w:color w:val="000000"/>
                <w:sz w:val="24"/>
              </w:rPr>
              <w:t>3.视觉增强模块：</w:t>
            </w:r>
          </w:p>
          <w:p w14:paraId="112D143B">
            <w:r>
              <w:rPr>
                <w:color w:val="000000"/>
                <w:sz w:val="24"/>
              </w:rPr>
              <w:t>为了提高实际中拍摄得水下图像的质量，“海驭001”采用了先进的图像增强技术：自适应直方图均衡化（AHE）和对比度受限自适应直方图均衡化（CLAHE）。</w:t>
            </w:r>
          </w:p>
          <w:p w14:paraId="50F9B68A">
            <w:pPr>
              <w:numPr>
                <w:ilvl w:val="0"/>
                <w:numId w:val="7"/>
              </w:numPr>
            </w:pPr>
            <w:r>
              <w:rPr>
                <w:b/>
                <w:color w:val="000000"/>
                <w:sz w:val="24"/>
              </w:rPr>
              <w:t>自适应直方图均衡化（AHE）处理</w:t>
            </w:r>
            <w:r>
              <w:rPr>
                <w:color w:val="000000"/>
                <w:sz w:val="24"/>
              </w:rPr>
              <w:t>：</w:t>
            </w:r>
            <w:r>
              <w:rPr>
                <w:color w:val="000000"/>
                <w:sz w:val="24"/>
              </w:rPr>
              <w:br w:type="textWrapping"/>
            </w:r>
            <w:r>
              <w:rPr>
                <w:color w:val="000000"/>
                <w:sz w:val="24"/>
              </w:rPr>
              <w:t>对每张图像应用AHE技术，提升图像的整体对比度和细节表现。</w:t>
            </w:r>
          </w:p>
          <w:p w14:paraId="7A84F594">
            <w:pPr>
              <w:numPr>
                <w:ilvl w:val="0"/>
                <w:numId w:val="7"/>
              </w:numPr>
            </w:pPr>
            <w:r>
              <w:rPr>
                <w:b/>
                <w:color w:val="000000"/>
                <w:sz w:val="24"/>
              </w:rPr>
              <w:t>对比度受限自适应直方图均衡化（CLAHE）处理</w:t>
            </w:r>
            <w:r>
              <w:rPr>
                <w:color w:val="000000"/>
                <w:sz w:val="24"/>
              </w:rPr>
              <w:t>：</w:t>
            </w:r>
            <w:r>
              <w:rPr>
                <w:color w:val="000000"/>
                <w:sz w:val="24"/>
              </w:rPr>
              <w:br w:type="textWrapping"/>
            </w:r>
            <w:r>
              <w:rPr>
                <w:color w:val="000000"/>
                <w:sz w:val="24"/>
              </w:rPr>
              <w:t>对每张图像应用CLAHE技术，进一步优化图像的对比度，同时限制对比度的过度增强，减少噪声。</w:t>
            </w:r>
          </w:p>
          <w:p w14:paraId="07FF5677">
            <w:r>
              <w:rPr>
                <w:color w:val="000000"/>
                <w:sz w:val="24"/>
              </w:rPr>
              <w:t>通过上述视觉增强模块的处理，“海驭001”能够有效改善水下图像的质量，为后续的目标识别提供更清晰、对比度更高的图像数据。这些增强技术在实际应用中，特别是在光照条件复杂的水下环境中，表现出显著的优势，提升了系统的整体性能和可靠性。</w:t>
            </w:r>
          </w:p>
          <w:p w14:paraId="7E9F994E"/>
          <w:p w14:paraId="47510B32"/>
          <w:p w14:paraId="7B394662"/>
          <w:p w14:paraId="3D2A0512">
            <w:r>
              <w:rPr>
                <w:b/>
                <w:color w:val="000000"/>
                <w:sz w:val="24"/>
              </w:rPr>
              <w:t>2.2.3 数据显示模块：</w:t>
            </w:r>
          </w:p>
          <w:p w14:paraId="15E1ACDF">
            <w:r>
              <w:rPr>
                <w:color w:val="000000"/>
                <w:sz w:val="24"/>
              </w:rPr>
              <w:t>“海驭001”上位机通过PyQt5库的GraphicsView模块将数据转换成折线图，从而清晰表现数据的变化趋势。</w:t>
            </w:r>
          </w:p>
          <w:p w14:paraId="121C72C3">
            <w:r>
              <w:drawing>
                <wp:inline distT="0" distB="0" distL="0" distR="0">
                  <wp:extent cx="8286750" cy="4660900"/>
                  <wp:effectExtent l="0" t="0" r="0" b="0"/>
                  <wp:docPr id="3" name="image.png"/>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7"/>
                          <a:stretch>
                            <a:fillRect/>
                          </a:stretch>
                        </pic:blipFill>
                        <pic:spPr>
                          <a:xfrm>
                            <a:off x="0" y="0"/>
                            <a:ext cx="8286750" cy="4661297"/>
                          </a:xfrm>
                          <a:prstGeom prst="rect">
                            <a:avLst/>
                          </a:prstGeom>
                        </pic:spPr>
                      </pic:pic>
                    </a:graphicData>
                  </a:graphic>
                </wp:inline>
              </w:drawing>
            </w:r>
          </w:p>
          <w:p w14:paraId="24995394"/>
          <w:p w14:paraId="55AE840B">
            <w:r>
              <w:rPr>
                <w:color w:val="000000"/>
                <w:sz w:val="24"/>
              </w:rPr>
              <w:t>在视频显示区域还有油门幅度和指南针可视化控件，使操作者清晰看到船体朝向与行进速度。</w:t>
            </w:r>
          </w:p>
          <w:p w14:paraId="014E0434">
            <w:bookmarkStart w:id="0" w:name="_GoBack"/>
            <w:r>
              <w:drawing>
                <wp:inline distT="0" distB="0" distL="0" distR="0">
                  <wp:extent cx="2385060" cy="4838700"/>
                  <wp:effectExtent l="0" t="0" r="0" b="0"/>
                  <wp:docPr id="4" name="image.png"/>
                  <wp:cNvGraphicFramePr/>
                  <a:graphic xmlns:a="http://schemas.openxmlformats.org/drawingml/2006/main">
                    <a:graphicData uri="http://schemas.openxmlformats.org/drawingml/2006/picture">
                      <pic:pic xmlns:pic="http://schemas.openxmlformats.org/drawingml/2006/picture">
                        <pic:nvPicPr>
                          <pic:cNvPr id="4" name="image.png"/>
                          <pic:cNvPicPr/>
                        </pic:nvPicPr>
                        <pic:blipFill>
                          <a:blip r:embed="rId8"/>
                          <a:stretch>
                            <a:fillRect/>
                          </a:stretch>
                        </pic:blipFill>
                        <pic:spPr>
                          <a:xfrm>
                            <a:off x="0" y="0"/>
                            <a:ext cx="2385060" cy="4838700"/>
                          </a:xfrm>
                          <a:prstGeom prst="rect">
                            <a:avLst/>
                          </a:prstGeom>
                        </pic:spPr>
                      </pic:pic>
                    </a:graphicData>
                  </a:graphic>
                </wp:inline>
              </w:drawing>
            </w:r>
            <w:bookmarkEnd w:id="0"/>
          </w:p>
          <w:p w14:paraId="09812325">
            <w:r>
              <w:rPr>
                <w:b/>
                <w:color w:val="000000"/>
                <w:sz w:val="24"/>
              </w:rPr>
              <w:t>2.2.4 模型助手模块：</w:t>
            </w:r>
          </w:p>
          <w:p w14:paraId="5D314826">
            <w:r>
              <w:rPr>
                <w:color w:val="000000"/>
                <w:sz w:val="24"/>
              </w:rPr>
              <w:t>“海驭001”搭载讯飞星火认知大模型API，</w:t>
            </w:r>
            <w:r>
              <w:rPr>
                <w:color w:val="000000"/>
                <w:spacing w:val="7"/>
                <w:sz w:val="24"/>
              </w:rPr>
              <w:t>采用流式的接口设计，首帧响应最快可达毫秒级。借助高效算法与架构，能在极短时间处理大量用户请求；提供包括语言理解、知识问答、代码编写、逻辑推理、数学解题等多元能力，持续从海量数据和知识中学习与进化。</w:t>
            </w:r>
          </w:p>
          <w:p w14:paraId="32C7FF40">
            <w:r>
              <w:drawing>
                <wp:inline distT="0" distB="0" distL="0" distR="0">
                  <wp:extent cx="8286750" cy="4660900"/>
                  <wp:effectExtent l="0" t="0" r="0" b="0"/>
                  <wp:docPr id="5" name="image.png"/>
                  <wp:cNvGraphicFramePr/>
                  <a:graphic xmlns:a="http://schemas.openxmlformats.org/drawingml/2006/main">
                    <a:graphicData uri="http://schemas.openxmlformats.org/drawingml/2006/picture">
                      <pic:pic xmlns:pic="http://schemas.openxmlformats.org/drawingml/2006/picture">
                        <pic:nvPicPr>
                          <pic:cNvPr id="5" name="image.png"/>
                          <pic:cNvPicPr/>
                        </pic:nvPicPr>
                        <pic:blipFill>
                          <a:blip r:embed="rId9"/>
                          <a:stretch>
                            <a:fillRect/>
                          </a:stretch>
                        </pic:blipFill>
                        <pic:spPr>
                          <a:xfrm>
                            <a:off x="0" y="0"/>
                            <a:ext cx="8286750" cy="4661297"/>
                          </a:xfrm>
                          <a:prstGeom prst="rect">
                            <a:avLst/>
                          </a:prstGeom>
                        </pic:spPr>
                      </pic:pic>
                    </a:graphicData>
                  </a:graphic>
                </wp:inline>
              </w:drawing>
            </w:r>
          </w:p>
          <w:p w14:paraId="7691826B">
            <w:r>
              <w:rPr>
                <w:b/>
                <w:color w:val="000000"/>
                <w:sz w:val="24"/>
              </w:rPr>
              <w:t>2.2.5 网页显示模块：</w:t>
            </w:r>
          </w:p>
          <w:p w14:paraId="30FB74BA">
            <w:r>
              <w:rPr>
                <w:color w:val="000000"/>
                <w:sz w:val="24"/>
              </w:rPr>
              <w:t>“海驭001”上位机为用户提供自由的网页显示控件，可通过输入对应网址跳转对应网站，实现额外功能，比如跳转百度页面查找资料，跳转在线地图获取当前位置等。</w:t>
            </w:r>
          </w:p>
          <w:p w14:paraId="11A32AD5">
            <w:r>
              <w:drawing>
                <wp:inline distT="0" distB="0" distL="0" distR="0">
                  <wp:extent cx="8286750" cy="4660900"/>
                  <wp:effectExtent l="0" t="0" r="0" b="0"/>
                  <wp:docPr id="6" name="image.png"/>
                  <wp:cNvGraphicFramePr/>
                  <a:graphic xmlns:a="http://schemas.openxmlformats.org/drawingml/2006/main">
                    <a:graphicData uri="http://schemas.openxmlformats.org/drawingml/2006/picture">
                      <pic:pic xmlns:pic="http://schemas.openxmlformats.org/drawingml/2006/picture">
                        <pic:nvPicPr>
                          <pic:cNvPr id="6" name="image.png"/>
                          <pic:cNvPicPr/>
                        </pic:nvPicPr>
                        <pic:blipFill>
                          <a:blip r:embed="rId10"/>
                          <a:stretch>
                            <a:fillRect/>
                          </a:stretch>
                        </pic:blipFill>
                        <pic:spPr>
                          <a:xfrm>
                            <a:off x="0" y="0"/>
                            <a:ext cx="8286750" cy="4661318"/>
                          </a:xfrm>
                          <a:prstGeom prst="rect">
                            <a:avLst/>
                          </a:prstGeom>
                        </pic:spPr>
                      </pic:pic>
                    </a:graphicData>
                  </a:graphic>
                </wp:inline>
              </w:drawing>
            </w:r>
          </w:p>
          <w:p w14:paraId="4F72C3AE"/>
          <w:p w14:paraId="6F4D2F04">
            <w:pPr>
              <w:spacing w:line="276" w:lineRule="auto"/>
            </w:pPr>
            <w:r>
              <w:rPr>
                <w:b/>
                <w:color w:val="000000"/>
                <w:sz w:val="30"/>
              </w:rPr>
              <w:t>2.3下位机系统：</w:t>
            </w:r>
          </w:p>
          <w:p w14:paraId="6198B819">
            <w:pPr>
              <w:spacing w:line="276" w:lineRule="auto"/>
            </w:pPr>
          </w:p>
          <w:p w14:paraId="4650D92D">
            <w:pPr>
              <w:spacing w:line="240" w:lineRule="auto"/>
              <w:ind w:firstLine="481"/>
              <w:jc w:val="left"/>
            </w:pPr>
            <w:r>
              <w:rPr>
                <w:b/>
                <w:color w:val="000000"/>
                <w:sz w:val="24"/>
              </w:rPr>
              <w:t>2.3.1 下位机概述：</w:t>
            </w:r>
          </w:p>
          <w:p w14:paraId="549660D7">
            <w:r>
              <w:rPr>
                <w:color w:val="000000"/>
                <w:sz w:val="24"/>
              </w:rPr>
              <w:t>下位机以STM32H750VBT6作为主控，采集姿态传感器，压力传感器，温度传感器，水质传感器等的信息，采用国产的RT-Thread实时操作系统，利用多线程之间的任务切换进行任务管理，进行运动控制与系统通信，极大的提高了系统的响应速度与安全性。下位机系统框图如下：</w:t>
            </w:r>
          </w:p>
          <w:p w14:paraId="371A1107">
            <w:pPr>
              <w:spacing w:line="276" w:lineRule="auto"/>
            </w:pPr>
            <w:r>
              <w:rPr>
                <w:color w:val="000000"/>
                <w:sz w:val="24"/>
              </w:rPr>
              <w:t xml:space="preserve"> </w:t>
            </w:r>
          </w:p>
          <w:p w14:paraId="184FE2BA">
            <w:pPr>
              <w:spacing w:line="240" w:lineRule="auto"/>
              <w:ind w:firstLine="481"/>
              <w:jc w:val="left"/>
            </w:pPr>
            <w:r>
              <w:rPr>
                <w:b/>
                <w:color w:val="000000"/>
                <w:sz w:val="24"/>
              </w:rPr>
              <w:t>2.3.2 硬件需求：</w:t>
            </w:r>
          </w:p>
          <w:p w14:paraId="4CC3132D">
            <w:r>
              <w:rPr>
                <w:color w:val="000000"/>
                <w:sz w:val="24"/>
              </w:rPr>
              <w:t>一个表格。下位机采用高性能的STM32H750VBT6作为主控，引脚丰富，主频高达480M，配有浮点运算单元，拥有丰富的各类外设和接口，性能优越，可高速处理数据以及进行</w:t>
            </w:r>
          </w:p>
          <w:p w14:paraId="3252B753">
            <w:pPr>
              <w:spacing w:line="240" w:lineRule="auto"/>
              <w:ind w:firstLine="481"/>
              <w:jc w:val="left"/>
            </w:pPr>
            <w:r>
              <w:rPr>
                <w:b/>
                <w:color w:val="000000"/>
                <w:sz w:val="24"/>
              </w:rPr>
              <w:t xml:space="preserve"> </w:t>
            </w:r>
          </w:p>
          <w:p w14:paraId="1FFB8959">
            <w:pPr>
              <w:spacing w:line="240" w:lineRule="auto"/>
              <w:ind w:firstLine="481"/>
              <w:jc w:val="left"/>
            </w:pPr>
            <w:r>
              <w:rPr>
                <w:b/>
                <w:color w:val="000000"/>
                <w:sz w:val="24"/>
              </w:rPr>
              <w:t xml:space="preserve"> </w:t>
            </w:r>
          </w:p>
          <w:p w14:paraId="61206BFE">
            <w:pPr>
              <w:spacing w:line="240" w:lineRule="auto"/>
              <w:ind w:firstLine="481"/>
              <w:jc w:val="left"/>
            </w:pPr>
            <w:r>
              <w:rPr>
                <w:b/>
                <w:color w:val="000000"/>
                <w:sz w:val="24"/>
              </w:rPr>
              <w:t>2.3.3 操作系统介绍</w:t>
            </w:r>
          </w:p>
          <w:p w14:paraId="7CD0F2BC">
            <w:pPr>
              <w:spacing w:line="240" w:lineRule="auto"/>
              <w:ind w:firstLine="481"/>
              <w:jc w:val="left"/>
            </w:pPr>
            <w:r>
              <w:rPr>
                <w:color w:val="000000"/>
                <w:sz w:val="24"/>
              </w:rPr>
              <w:t>RT-Thread（Real-Time Thread）是一个开源的嵌入式实时操作系统，专注于实时性和可裁剪性。它采用了实时内核架构，支持多任务管理、优先级调度、信号量、消息队列等特性，适用于各种嵌入式系统的开发。</w:t>
            </w:r>
          </w:p>
          <w:p w14:paraId="08305879">
            <w:r>
              <w:rPr>
                <w:color w:val="000000"/>
                <w:sz w:val="24"/>
              </w:rPr>
              <w:t>RT-Thread相对于裸机编程和其他操作系统具有以下优势：</w:t>
            </w:r>
          </w:p>
          <w:p w14:paraId="069E3092">
            <w:r>
              <w:rPr>
                <w:color w:val="000000"/>
                <w:sz w:val="24"/>
              </w:rPr>
              <w:t>实时性：RT-Thread是一个专注于实时性的操作系统，具备实时内核架构和多任务管理功能，可以提供精确的任务调度和响应能力。相比裸机编程，RT-Thread能够更好地满足对实时性要求较高的应用。</w:t>
            </w:r>
          </w:p>
          <w:p w14:paraId="27AA1FA6">
            <w:r>
              <w:rPr>
                <w:color w:val="000000"/>
                <w:sz w:val="24"/>
              </w:rPr>
              <w:t>灵活性：RT-Thread采用了可裁剪的设计，用户可以根据应用需求选择性地添加或删除软件组件和驱动，从而减小系统的体积和功耗。与其他操作系统相比，RT-Thread更加轻量级和灵活。</w:t>
            </w:r>
          </w:p>
          <w:p w14:paraId="4CAE9BD8">
            <w:r>
              <w:rPr>
                <w:color w:val="000000"/>
                <w:sz w:val="24"/>
              </w:rPr>
              <w:t>多平台支持：RT-Thread支持多种处理器架构和开发平台，包括ARM、MIPS、X86等，可以在不同硬件设备上进行移植和应用。这种多平台支持能够帮助开发者更加方便地在不同系统上进行开发和移植。</w:t>
            </w:r>
          </w:p>
          <w:p w14:paraId="4632DB8A">
            <w:r>
              <w:rPr>
                <w:color w:val="000000"/>
                <w:sz w:val="24"/>
              </w:rPr>
              <w:t>社区支持和资源丰富：RT-Thread拥有庞大的开源社区和活跃的开发者群体，用户可以通过社区论坛、GitHub等平台获取技术支持和参与开发。与裸机编程相比，RT-Thread可以节省开发时间和精力，同时享有社区资源和经验分享。</w:t>
            </w:r>
          </w:p>
          <w:p w14:paraId="3CEBE6A4">
            <w:r>
              <w:rPr>
                <w:color w:val="000000"/>
                <w:sz w:val="24"/>
              </w:rPr>
              <w:t>综上所述，RT-Thread相对于裸机编程和其他操作系统具有更强的实时性、灵活性、多平台支持和丰富的社区资源，是一款适合嵌入式实时系统开发的优秀选择</w:t>
            </w:r>
            <w:r>
              <w:rPr>
                <w:b/>
                <w:color w:val="000000"/>
                <w:sz w:val="24"/>
              </w:rPr>
              <w:t>9</w:t>
            </w:r>
          </w:p>
          <w:p w14:paraId="2D5F1279">
            <w:pPr>
              <w:spacing w:line="240" w:lineRule="auto"/>
              <w:ind w:firstLine="481"/>
              <w:jc w:val="left"/>
            </w:pPr>
            <w:r>
              <w:rPr>
                <w:b/>
                <w:color w:val="000000"/>
                <w:sz w:val="24"/>
              </w:rPr>
              <w:t>2.3.4 矢量推进算法</w:t>
            </w:r>
          </w:p>
          <w:p w14:paraId="61783D83">
            <w:pPr>
              <w:spacing w:line="240" w:lineRule="auto"/>
              <w:ind w:firstLine="481"/>
              <w:jc w:val="left"/>
            </w:pPr>
            <w:r>
              <w:rPr>
                <w:color w:val="000000"/>
                <w:sz w:val="24"/>
              </w:rPr>
              <w:t>航行器采用矢量推进技术，依靠两侧与后端三个可以改变推进方向的矢量推进器进行混合运动控制</w:t>
            </w:r>
          </w:p>
          <w:p w14:paraId="177E7AA4">
            <w:pPr>
              <w:numPr>
                <w:ilvl w:val="0"/>
                <w:numId w:val="1"/>
              </w:numPr>
              <w:jc w:val="left"/>
            </w:pPr>
            <w:r>
              <w:rPr>
                <w:color w:val="000000"/>
                <w:sz w:val="24"/>
              </w:rPr>
              <w:t>平衡控制</w:t>
            </w:r>
          </w:p>
          <w:p w14:paraId="7501494A">
            <w:pPr>
              <w:spacing w:line="240" w:lineRule="auto"/>
            </w:pPr>
            <w:r>
              <w:rPr>
                <w:color w:val="000000"/>
                <w:sz w:val="24"/>
              </w:rPr>
              <w:t>采用pid运动控制算法，利用姿态传感器测量的角度，对航行器的pitch和roll方向进行平衡控制。</w:t>
            </w:r>
          </w:p>
          <w:p w14:paraId="0501C38D">
            <w:r>
              <w:rPr>
                <w:color w:val="000000"/>
                <w:sz w:val="24"/>
              </w:rPr>
              <w:t>PID控制器是一种经典且广泛使用的反馈控制器，其设计基于比例 (Proportional)、积分 (Integral)、微分(Derivative) 三个基本控制原理。这种控制器能够对工业过程进行有效的控制。</w:t>
            </w:r>
          </w:p>
          <w:p w14:paraId="1D13608B">
            <w:pPr>
              <w:spacing w:line="240" w:lineRule="auto"/>
              <w:ind w:firstLine="960"/>
            </w:pPr>
            <w:r>
              <w:rPr>
                <w:color w:val="000000"/>
                <w:sz w:val="24"/>
              </w:rPr>
              <w:t>PID控制器的组成</w:t>
            </w:r>
          </w:p>
          <w:p w14:paraId="00698225">
            <w:r>
              <w:rPr>
                <w:color w:val="000000"/>
                <w:sz w:val="24"/>
              </w:rPr>
              <w:t>2.1 比例 (P) 控制器</w:t>
            </w:r>
          </w:p>
          <w:p w14:paraId="24F96548">
            <w:r>
              <w:rPr>
                <w:color w:val="000000"/>
                <w:sz w:val="24"/>
              </w:rPr>
              <w:t>比例控制器是PID控制器中最基本的组成部分。它根据误差信号e()的当前值来计算控制</w:t>
            </w:r>
          </w:p>
          <w:p w14:paraId="131347EF">
            <w:r>
              <w:rPr>
                <w:color w:val="000000"/>
                <w:sz w:val="24"/>
              </w:rPr>
              <w:t>量，其输出与误差信号成正比。比例控制器的增益K,决定了控制量对误差的响应程度</w:t>
            </w:r>
          </w:p>
          <w:p w14:paraId="44A62E2B">
            <w:r>
              <w:rPr>
                <w:color w:val="000000"/>
                <w:sz w:val="24"/>
              </w:rPr>
              <w:t>比例控制可以快速反应偏差，但无法完全消除稳态误差。</w:t>
            </w:r>
          </w:p>
          <w:p w14:paraId="54712041">
            <w:r>
              <w:rPr>
                <w:color w:val="000000"/>
                <w:sz w:val="24"/>
              </w:rPr>
              <w:t>2.2 积分 (I) 控制器</w:t>
            </w:r>
          </w:p>
          <w:p w14:paraId="4DF30A3B">
            <w:r>
              <w:rPr>
                <w:color w:val="000000"/>
                <w:sz w:val="24"/>
              </w:rPr>
              <w:t>积分控制器的作用是消除稳态误差。它通过对误差信号随时间的积分来计算控制量，使得</w:t>
            </w:r>
          </w:p>
          <w:p w14:paraId="6D3C3BF4">
            <w:r>
              <w:rPr>
                <w:color w:val="000000"/>
                <w:sz w:val="24"/>
              </w:rPr>
              <w:t>即使在存在模型不确定性或外部干扰的情况下，系统也能最终达到无差度。积分时间工;是</w:t>
            </w:r>
          </w:p>
          <w:p w14:paraId="09680C22">
            <w:r>
              <w:rPr>
                <w:color w:val="000000"/>
                <w:sz w:val="24"/>
              </w:rPr>
              <w:t>控制量累积速度的关键参数，较小的T;值会导致更快的积分响应。</w:t>
            </w:r>
          </w:p>
          <w:p w14:paraId="0EBDE681">
            <w:r>
              <w:rPr>
                <w:color w:val="000000"/>
                <w:sz w:val="24"/>
              </w:rPr>
              <w:t>2.3 微分 (D) 控制器</w:t>
            </w:r>
          </w:p>
          <w:p w14:paraId="17ED3825">
            <w:r>
              <w:rPr>
                <w:color w:val="000000"/>
                <w:sz w:val="24"/>
              </w:rPr>
              <w:t>微分控制器通过计算误差信号的变化率来预测系统的未来行为，从而减少系统的超调和振</w:t>
            </w:r>
          </w:p>
          <w:p w14:paraId="1347B522">
            <w:r>
              <w:rPr>
                <w:color w:val="000000"/>
                <w:sz w:val="24"/>
              </w:rPr>
              <w:t>荡。微分控制的输出与误差信号的导数成正比，微分时间T,决定了微分控制的强度。微</w:t>
            </w:r>
          </w:p>
          <w:p w14:paraId="5E6C4CCA">
            <w:r>
              <w:rPr>
                <w:color w:val="000000"/>
                <w:sz w:val="24"/>
              </w:rPr>
              <w:t>分控制有助于提高系统的动态性能，但若设置不当，可能会放大高频噪声。</w:t>
            </w:r>
          </w:p>
          <w:p w14:paraId="6F112570">
            <w:r>
              <w:rPr>
                <w:color w:val="000000"/>
                <w:sz w:val="24"/>
              </w:rPr>
              <w:t>2.4 PID控制器的组合</w:t>
            </w:r>
          </w:p>
          <w:p w14:paraId="613AAD39">
            <w:r>
              <w:rPr>
                <w:color w:val="000000"/>
                <w:sz w:val="24"/>
              </w:rPr>
              <w:t>实际应用中，PID控制器的P、1、D三个部分通常结合使用，以实现对系统的精确控制</w:t>
            </w:r>
          </w:p>
          <w:p w14:paraId="70BA48F6">
            <w:r>
              <w:rPr>
                <w:color w:val="000000"/>
                <w:sz w:val="24"/>
              </w:rPr>
              <w:t>组合方式可以是PI、PD或完整的PID形式，具体取决于控制需求和系统特性。通过调整冬</w:t>
            </w:r>
          </w:p>
          <w:p w14:paraId="3132EBEA">
            <w:r>
              <w:rPr>
                <w:color w:val="000000"/>
                <w:sz w:val="24"/>
              </w:rPr>
              <w:t>部分的比例增益、积分时间和微分时间，可以获得期望的控制效果</w:t>
            </w:r>
          </w:p>
          <w:p w14:paraId="6E9A22CE">
            <w:r>
              <w:rPr>
                <w:color w:val="000000"/>
                <w:sz w:val="21"/>
              </w:rPr>
              <w:t xml:space="preserve"> </w:t>
            </w:r>
          </w:p>
          <w:p w14:paraId="24AB0955">
            <w:pPr>
              <w:numPr>
                <w:ilvl w:val="0"/>
                <w:numId w:val="1"/>
              </w:numPr>
              <w:jc w:val="left"/>
            </w:pPr>
            <w:r>
              <w:rPr>
                <w:color w:val="000000"/>
                <w:sz w:val="21"/>
              </w:rPr>
              <w:t>混合控制算法</w:t>
            </w:r>
          </w:p>
          <w:p w14:paraId="6AC909EB">
            <w:pPr>
              <w:spacing w:line="240" w:lineRule="auto"/>
            </w:pPr>
            <w:r>
              <w:rPr>
                <w:color w:val="000000"/>
                <w:sz w:val="21"/>
              </w:rPr>
              <w:t>在航行器自稳的基础上在航行器自稳的基础上，需要进行垂直运动和水平方向运动的叠加，以水平方向为极轴，顺时针方向为极角增大的方向，对左右两个推进器建立极坐标系，矢量om为推进器力的方向，设为F,则可以对推力进行正交分解，得到f1x=fcosα，f1z=fsinα。f2x=fcosα，f2z=fsinα。F3x=fcosα，f3z=fsinα。</w:t>
            </w:r>
          </w:p>
          <w:p w14:paraId="09D30D15">
            <w:pPr>
              <w:spacing w:line="240" w:lineRule="auto"/>
            </w:pPr>
            <w:r>
              <w:rPr>
                <w:color w:val="000000"/>
                <w:sz w:val="21"/>
              </w:rPr>
              <w:t>左右推进器相对于航行器重心的力臂为l1，后推进器对于航行器重心的力臂为l2，则输出时需要满足关系l1*（f1z+f2z）=l2*f3z，且f1z+f2z+f3z=fz。水平方向上，满足f1x+f2x+f3x=fx。</w:t>
            </w:r>
          </w:p>
          <w:p w14:paraId="409EDC19">
            <w:pPr>
              <w:spacing w:line="240" w:lineRule="auto"/>
            </w:pPr>
            <w:r>
              <w:rPr>
                <w:color w:val="000000"/>
                <w:sz w:val="21"/>
              </w:rPr>
              <w:t xml:space="preserve"> </w:t>
            </w:r>
          </w:p>
          <w:p w14:paraId="26599CFF">
            <w:pPr>
              <w:spacing w:line="240" w:lineRule="auto"/>
            </w:pPr>
            <w:r>
              <w:rPr>
                <w:color w:val="000000"/>
                <w:sz w:val="21"/>
              </w:rPr>
              <w:t>在转弯时，利用差速转弯原理，根据左右两个推进器的推力不同，实现左右移动，转弯半径为r=（f1x+f2x）*l/2*（f1-f2）。</w:t>
            </w:r>
          </w:p>
          <w:p w14:paraId="41A922B7">
            <w:pPr>
              <w:spacing w:line="240" w:lineRule="auto"/>
            </w:pPr>
            <w:r>
              <w:rPr>
                <w:color w:val="000000"/>
                <w:sz w:val="21"/>
              </w:rPr>
              <w:t>将三个推进器的各个推力计算完成后，利用勾股定理将其合成，同时，计算出极角，将推力数值转化为pwm输出给电机，将角度信息输出给转动机构。，</w:t>
            </w:r>
          </w:p>
          <w:p w14:paraId="69ECE89E">
            <w:pPr>
              <w:spacing w:line="240" w:lineRule="auto"/>
              <w:ind w:firstLine="481"/>
              <w:jc w:val="left"/>
            </w:pPr>
            <w:r>
              <w:rPr>
                <w:b/>
                <w:color w:val="000000"/>
                <w:sz w:val="24"/>
              </w:rPr>
              <w:t>2.3.5 通信协议</w:t>
            </w:r>
          </w:p>
          <w:p w14:paraId="65650EB7">
            <w:pPr>
              <w:spacing w:line="240" w:lineRule="auto"/>
              <w:ind w:firstLine="481"/>
              <w:jc w:val="left"/>
            </w:pPr>
          </w:p>
          <w:p w14:paraId="43995846">
            <w:pPr>
              <w:spacing w:line="240" w:lineRule="auto"/>
              <w:ind w:firstLine="481"/>
              <w:jc w:val="left"/>
            </w:pPr>
            <w:r>
              <w:rPr>
                <w:b/>
                <w:color w:val="000000"/>
                <w:sz w:val="24"/>
              </w:rPr>
              <w:t>2.3.6传感器信息采集</w:t>
            </w:r>
          </w:p>
        </w:tc>
      </w:tr>
    </w:tbl>
    <w:p w14:paraId="3BC6E545">
      <w:r>
        <w:rPr>
          <w:color w:val="000000"/>
          <w:sz w:val="21"/>
        </w:rPr>
        <w:t xml:space="preserve"> </w:t>
      </w:r>
      <w:r>
        <w:rPr>
          <w:b/>
          <w:color w:val="000000"/>
          <w:sz w:val="30"/>
        </w:rPr>
        <w:t>2.4电源系统</w:t>
      </w:r>
    </w:p>
    <w:p w14:paraId="215D4BE0">
      <w:r>
        <w:rPr>
          <w:b/>
          <w:color w:val="000000"/>
          <w:sz w:val="30"/>
        </w:rPr>
        <w:t xml:space="preserve">    </w:t>
      </w:r>
      <w:r>
        <w:rPr>
          <w:b/>
          <w:color w:val="000000"/>
          <w:sz w:val="24"/>
        </w:rPr>
        <w:t>2.4.1 电源系统概述：</w:t>
      </w:r>
    </w:p>
    <w:p w14:paraId="12D95ADB">
      <w:r>
        <w:drawing>
          <wp:inline distT="0" distB="0" distL="0" distR="0">
            <wp:extent cx="8382000" cy="6267450"/>
            <wp:effectExtent l="0" t="0" r="0" b="0"/>
            <wp:docPr id="7" name="6DX$Q])9A{)6NU95BDF]%_T.png"/>
            <wp:cNvGraphicFramePr/>
            <a:graphic xmlns:a="http://schemas.openxmlformats.org/drawingml/2006/main">
              <a:graphicData uri="http://schemas.openxmlformats.org/drawingml/2006/picture">
                <pic:pic xmlns:pic="http://schemas.openxmlformats.org/drawingml/2006/picture">
                  <pic:nvPicPr>
                    <pic:cNvPr id="7" name="6DX$Q])9A{)6NU95BDF]%_T.png"/>
                    <pic:cNvPicPr/>
                  </pic:nvPicPr>
                  <pic:blipFill>
                    <a:blip r:embed="rId11"/>
                    <a:stretch>
                      <a:fillRect/>
                    </a:stretch>
                  </pic:blipFill>
                  <pic:spPr>
                    <a:xfrm>
                      <a:off x="0" y="0"/>
                      <a:ext cx="8382000" cy="6267450"/>
                    </a:xfrm>
                    <a:prstGeom prst="rect">
                      <a:avLst/>
                    </a:prstGeom>
                  </pic:spPr>
                </pic:pic>
              </a:graphicData>
            </a:graphic>
          </wp:inline>
        </w:drawing>
      </w:r>
    </w:p>
    <w:p w14:paraId="173F17D9">
      <w:r>
        <w:rPr>
          <w:color w:val="000000"/>
          <w:sz w:val="21"/>
        </w:rPr>
        <w:t>ROV的电源系统主要四串三并12节18650锂电池组、无线充电模块、电量检测模块、限流保护模块、缓启动模块、降压模块、六大部分组成。电源系统整体流程图如图  所示。整体电源系统完全自主设计，整体电压16.8V，最大电流40A，功率瞬时值可达672W，为ROV提供强大动力，助力ROV实现极高推重比提升运动的灵活性。无线充电方式提供了较大的便利，可不开仓无线充电。电量检测模块可以实时监测电量，判断是否需要充电以及电池状态是否正确。限流保护模块通过实时取样电压检测整体电源系统是否出现过流、过压、过放电、过充电等情况，一旦出现异常便会切断电源，避免烧毁后续单片机、树莓派、舵机、电调等设备，为ROV整体水下电气安全性能保驾护航。缓启动模块实现缓慢上电，避免上电瞬间的浪涌电流烧电路板。电源系统PCB预览图、3D仿真图与实物图分别如图    ，   所示。</w:t>
      </w:r>
    </w:p>
    <w:p w14:paraId="36D77DC7">
      <w:r>
        <w:drawing>
          <wp:inline distT="0" distB="0" distL="0" distR="0">
            <wp:extent cx="9363075" cy="3550285"/>
            <wp:effectExtent l="0" t="0" r="0" b="0"/>
            <wp:docPr id="8" name="SX4O}_)L@TUXBNIFJO(L$VF.png"/>
            <wp:cNvGraphicFramePr/>
            <a:graphic xmlns:a="http://schemas.openxmlformats.org/drawingml/2006/main">
              <a:graphicData uri="http://schemas.openxmlformats.org/drawingml/2006/picture">
                <pic:pic xmlns:pic="http://schemas.openxmlformats.org/drawingml/2006/picture">
                  <pic:nvPicPr>
                    <pic:cNvPr id="8" name="SX4O}_)L@TUXBNIFJO(L$VF.png"/>
                    <pic:cNvPicPr/>
                  </pic:nvPicPr>
                  <pic:blipFill>
                    <a:blip r:embed="rId12"/>
                    <a:stretch>
                      <a:fillRect/>
                    </a:stretch>
                  </pic:blipFill>
                  <pic:spPr>
                    <a:xfrm>
                      <a:off x="0" y="0"/>
                      <a:ext cx="9363075" cy="3550763"/>
                    </a:xfrm>
                    <a:prstGeom prst="rect">
                      <a:avLst/>
                    </a:prstGeom>
                  </pic:spPr>
                </pic:pic>
              </a:graphicData>
            </a:graphic>
          </wp:inline>
        </w:drawing>
      </w:r>
    </w:p>
    <w:p w14:paraId="7203EA99"/>
    <w:p w14:paraId="6C4B1FC6">
      <w:r>
        <w:drawing>
          <wp:inline distT="0" distB="0" distL="0" distR="0">
            <wp:extent cx="9363075" cy="2898140"/>
            <wp:effectExtent l="0" t="0" r="0" b="0"/>
            <wp:docPr id="9" name="JG2(NDO48R$1]ZKQK}CH4NA.png"/>
            <wp:cNvGraphicFramePr/>
            <a:graphic xmlns:a="http://schemas.openxmlformats.org/drawingml/2006/main">
              <a:graphicData uri="http://schemas.openxmlformats.org/drawingml/2006/picture">
                <pic:pic xmlns:pic="http://schemas.openxmlformats.org/drawingml/2006/picture">
                  <pic:nvPicPr>
                    <pic:cNvPr id="9" name="JG2(NDO48R$1]ZKQK}CH4NA.png"/>
                    <pic:cNvPicPr/>
                  </pic:nvPicPr>
                  <pic:blipFill>
                    <a:blip r:embed="rId13"/>
                    <a:stretch>
                      <a:fillRect/>
                    </a:stretch>
                  </pic:blipFill>
                  <pic:spPr>
                    <a:xfrm>
                      <a:off x="0" y="0"/>
                      <a:ext cx="9363075" cy="2898297"/>
                    </a:xfrm>
                    <a:prstGeom prst="rect">
                      <a:avLst/>
                    </a:prstGeom>
                  </pic:spPr>
                </pic:pic>
              </a:graphicData>
            </a:graphic>
          </wp:inline>
        </w:drawing>
      </w:r>
    </w:p>
    <w:p w14:paraId="4142C766"/>
    <w:p w14:paraId="4F9EBD99">
      <w:r>
        <w:drawing>
          <wp:inline distT="0" distB="0" distL="0" distR="0">
            <wp:extent cx="3566795" cy="9363075"/>
            <wp:effectExtent l="2898076" t="0" r="2898076" b="0"/>
            <wp:docPr id="10" name="IMG_20240616_214506.jpeg"/>
            <wp:cNvGraphicFramePr/>
            <a:graphic xmlns:a="http://schemas.openxmlformats.org/drawingml/2006/main">
              <a:graphicData uri="http://schemas.openxmlformats.org/drawingml/2006/picture">
                <pic:pic xmlns:pic="http://schemas.openxmlformats.org/drawingml/2006/picture">
                  <pic:nvPicPr>
                    <pic:cNvPr id="10" name="IMG_20240616_214506.jpeg"/>
                    <pic:cNvPicPr/>
                  </pic:nvPicPr>
                  <pic:blipFill>
                    <a:blip r:embed="rId14"/>
                    <a:stretch>
                      <a:fillRect/>
                    </a:stretch>
                  </pic:blipFill>
                  <pic:spPr>
                    <a:xfrm rot="16200000">
                      <a:off x="0" y="0"/>
                      <a:ext cx="3566886" cy="9363075"/>
                    </a:xfrm>
                    <a:prstGeom prst="rect">
                      <a:avLst/>
                    </a:prstGeom>
                  </pic:spPr>
                </pic:pic>
              </a:graphicData>
            </a:graphic>
          </wp:inline>
        </w:drawing>
      </w:r>
    </w:p>
    <w:p w14:paraId="67C208F4">
      <w:r>
        <w:rPr>
          <w:b/>
          <w:color w:val="000000"/>
          <w:sz w:val="24"/>
        </w:rPr>
        <w:t xml:space="preserve">  </w:t>
      </w:r>
    </w:p>
    <w:p w14:paraId="6D6EDDF6"/>
    <w:p w14:paraId="632581C6">
      <w:r>
        <w:rPr>
          <w:b/>
          <w:color w:val="000000"/>
          <w:sz w:val="24"/>
        </w:rPr>
        <w:t xml:space="preserve"> 2.4.2 电池模块概述：</w:t>
      </w:r>
    </w:p>
    <w:p w14:paraId="4B764B03">
      <w:r>
        <w:drawing>
          <wp:inline distT="0" distB="0" distL="0" distR="0">
            <wp:extent cx="9363075" cy="3429000"/>
            <wp:effectExtent l="0" t="0" r="0" b="0"/>
            <wp:docPr id="11" name="IMG_20240616_214938.jpeg"/>
            <wp:cNvGraphicFramePr/>
            <a:graphic xmlns:a="http://schemas.openxmlformats.org/drawingml/2006/main">
              <a:graphicData uri="http://schemas.openxmlformats.org/drawingml/2006/picture">
                <pic:pic xmlns:pic="http://schemas.openxmlformats.org/drawingml/2006/picture">
                  <pic:nvPicPr>
                    <pic:cNvPr id="11" name="IMG_20240616_214938.jpeg"/>
                    <pic:cNvPicPr/>
                  </pic:nvPicPr>
                  <pic:blipFill>
                    <a:blip r:embed="rId15"/>
                    <a:stretch>
                      <a:fillRect/>
                    </a:stretch>
                  </pic:blipFill>
                  <pic:spPr>
                    <a:xfrm>
                      <a:off x="0" y="0"/>
                      <a:ext cx="9363075" cy="3429074"/>
                    </a:xfrm>
                    <a:prstGeom prst="rect">
                      <a:avLst/>
                    </a:prstGeom>
                  </pic:spPr>
                </pic:pic>
              </a:graphicData>
            </a:graphic>
          </wp:inline>
        </w:drawing>
      </w:r>
    </w:p>
    <w:p w14:paraId="7FA6B462">
      <w:r>
        <w:t>电池模块由四串三并12节18650锂电池组成，装载到电池盒上，可以自由拆卸安装，耗尽电量后可立即更换电池继续使用，极大提高了ROV的持续作业能力。电池模块具有多种充电方式，包括无线充电和有线充电两种模式，可根据需求选取。电源系统不仅可以通过外部穿线螺孔引出充电线在不拆下电路板的情况下外接电源充电，也可以使用线圈在不开仓的情况下无线充电，还可以将锂电池拆下后使用充电器进行充电。电池模块如图   所示。</w:t>
      </w:r>
    </w:p>
    <w:p w14:paraId="1501F6F5">
      <w:r>
        <w:rPr>
          <w:b/>
          <w:color w:val="000000"/>
          <w:sz w:val="24"/>
        </w:rPr>
        <w:t xml:space="preserve"> 2.4.3 过流保护电路概述：</w:t>
      </w:r>
    </w:p>
    <w:p w14:paraId="45B10B0A"/>
    <w:p w14:paraId="11D16ED5">
      <w:r>
        <w:t>ROV采用适配大电流的BM3451芯片主控电源的限流保护电路，保证电池的安全和整个系统的正常供电。BM3451使用方便，内置高精度电压检测电路和延迟电路，适用于二到四节串联锂电池的限流保护，且所需电流小，工作时最大电流40微安，休眠时最大电流0.1微安，具有低功耗的特性。同时BM3451芯片体积小，占用电路板的面积小，减小了占据空间，提高了电路板的利用率。BM3451采用三对NMOS作为电子开关控制电源整体的充放电。系统在正常电流下，DO引脚输出高电平，此时NMOS源极与栅极电压UGS大于0，放电管导通，地极间通过NMOS管过流。BM3451芯片在过流时给予栅极G低电平，使NMOS管截止，此时电路断开，起到保护作用，防止后续电路烧毁保证舱内安全。同时电路还有QB1-4 NMOS配合芯片组成的电压均衡电路，可以均衡不同电池组间电压差降低放电损耗保护电池组，提升整体电池组使用寿命和安全性。保护模块原理图、预览图如图   ，图   所示。</w:t>
      </w:r>
    </w:p>
    <w:p w14:paraId="0CA4FDF5">
      <w:r>
        <w:drawing>
          <wp:inline distT="0" distB="0" distL="0" distR="0">
            <wp:extent cx="9363075" cy="6243955"/>
            <wp:effectExtent l="0" t="0" r="0" b="0"/>
            <wp:docPr id="12" name="[LY$Z]~L0ZUI`(7(II7@@V6.png"/>
            <wp:cNvGraphicFramePr/>
            <a:graphic xmlns:a="http://schemas.openxmlformats.org/drawingml/2006/main">
              <a:graphicData uri="http://schemas.openxmlformats.org/drawingml/2006/picture">
                <pic:pic xmlns:pic="http://schemas.openxmlformats.org/drawingml/2006/picture">
                  <pic:nvPicPr>
                    <pic:cNvPr id="12" name="[LY$Z]~L0ZUI`(7(II7@@V6.png"/>
                    <pic:cNvPicPr/>
                  </pic:nvPicPr>
                  <pic:blipFill>
                    <a:blip r:embed="rId16"/>
                    <a:stretch>
                      <a:fillRect/>
                    </a:stretch>
                  </pic:blipFill>
                  <pic:spPr>
                    <a:xfrm>
                      <a:off x="0" y="0"/>
                      <a:ext cx="9363075" cy="6244142"/>
                    </a:xfrm>
                    <a:prstGeom prst="rect">
                      <a:avLst/>
                    </a:prstGeom>
                  </pic:spPr>
                </pic:pic>
              </a:graphicData>
            </a:graphic>
          </wp:inline>
        </w:drawing>
      </w:r>
    </w:p>
    <w:p w14:paraId="6CBEAF75">
      <w:r>
        <w:drawing>
          <wp:inline distT="0" distB="0" distL="0" distR="0">
            <wp:extent cx="9363075" cy="11131550"/>
            <wp:effectExtent l="0" t="0" r="0" b="0"/>
            <wp:docPr id="13" name="`M}NS7$1~U)Q[[Z$0`O$}LJ.png"/>
            <wp:cNvGraphicFramePr/>
            <a:graphic xmlns:a="http://schemas.openxmlformats.org/drawingml/2006/main">
              <a:graphicData uri="http://schemas.openxmlformats.org/drawingml/2006/picture">
                <pic:pic xmlns:pic="http://schemas.openxmlformats.org/drawingml/2006/picture">
                  <pic:nvPicPr>
                    <pic:cNvPr id="13" name="`M}NS7$1~U)Q[[Z$0`O$}LJ.png"/>
                    <pic:cNvPicPr/>
                  </pic:nvPicPr>
                  <pic:blipFill>
                    <a:blip r:embed="rId17"/>
                    <a:stretch>
                      <a:fillRect/>
                    </a:stretch>
                  </pic:blipFill>
                  <pic:spPr>
                    <a:xfrm>
                      <a:off x="0" y="0"/>
                      <a:ext cx="9363075" cy="11131965"/>
                    </a:xfrm>
                    <a:prstGeom prst="rect">
                      <a:avLst/>
                    </a:prstGeom>
                  </pic:spPr>
                </pic:pic>
              </a:graphicData>
            </a:graphic>
          </wp:inline>
        </w:drawing>
      </w:r>
    </w:p>
    <w:p w14:paraId="338F2CF9"/>
    <w:p w14:paraId="33DE7485">
      <w:r>
        <w:rPr>
          <w:b/>
          <w:color w:val="000000"/>
          <w:sz w:val="24"/>
        </w:rPr>
        <w:t xml:space="preserve"> 2.4.4 缓启动电路概述：</w:t>
      </w:r>
    </w:p>
    <w:p w14:paraId="5FFBFCB0">
      <w:r>
        <w:rPr>
          <w:color w:val="000000"/>
          <w:sz w:val="21"/>
        </w:rPr>
        <w:t>ROV采用PMOS软开关控制方案，固定在船体上的电源总缓启动开关控制PMOS的导通和截止，进而实现整个系统的电源通断。采用软启动的P-MOS开关控制电压缓慢变化，避免瞬时上电产生浪涌电流造成电源板烧毁，更加安全可靠。缓启动模块原理图、预览图如图   ，图   所示。</w:t>
      </w:r>
    </w:p>
    <w:p w14:paraId="52691399">
      <w:r>
        <w:drawing>
          <wp:inline distT="0" distB="0" distL="0" distR="0">
            <wp:extent cx="5638800" cy="6734175"/>
            <wp:effectExtent l="0" t="0" r="0" b="0"/>
            <wp:docPr id="14" name="38WPX%0NG[_Z051R5@(OTL1.png"/>
            <wp:cNvGraphicFramePr/>
            <a:graphic xmlns:a="http://schemas.openxmlformats.org/drawingml/2006/main">
              <a:graphicData uri="http://schemas.openxmlformats.org/drawingml/2006/picture">
                <pic:pic xmlns:pic="http://schemas.openxmlformats.org/drawingml/2006/picture">
                  <pic:nvPicPr>
                    <pic:cNvPr id="14" name="38WPX%0NG[_Z051R5@(OTL1.png"/>
                    <pic:cNvPicPr/>
                  </pic:nvPicPr>
                  <pic:blipFill>
                    <a:blip r:embed="rId18"/>
                    <a:stretch>
                      <a:fillRect/>
                    </a:stretch>
                  </pic:blipFill>
                  <pic:spPr>
                    <a:xfrm>
                      <a:off x="0" y="0"/>
                      <a:ext cx="5638800" cy="6734175"/>
                    </a:xfrm>
                    <a:prstGeom prst="rect">
                      <a:avLst/>
                    </a:prstGeom>
                  </pic:spPr>
                </pic:pic>
              </a:graphicData>
            </a:graphic>
          </wp:inline>
        </w:drawing>
      </w:r>
    </w:p>
    <w:p w14:paraId="72D9AE59"/>
    <w:p w14:paraId="74408032">
      <w:r>
        <w:drawing>
          <wp:inline distT="0" distB="0" distL="0" distR="0">
            <wp:extent cx="9182100" cy="5810250"/>
            <wp:effectExtent l="0" t="0" r="0" b="0"/>
            <wp:docPr id="15" name="7R_)NX7~VWWQ[S%AJV0~RVW.png"/>
            <wp:cNvGraphicFramePr/>
            <a:graphic xmlns:a="http://schemas.openxmlformats.org/drawingml/2006/main">
              <a:graphicData uri="http://schemas.openxmlformats.org/drawingml/2006/picture">
                <pic:pic xmlns:pic="http://schemas.openxmlformats.org/drawingml/2006/picture">
                  <pic:nvPicPr>
                    <pic:cNvPr id="15" name="7R_)NX7~VWWQ[S%AJV0~RVW.png"/>
                    <pic:cNvPicPr/>
                  </pic:nvPicPr>
                  <pic:blipFill>
                    <a:blip r:embed="rId19"/>
                    <a:stretch>
                      <a:fillRect/>
                    </a:stretch>
                  </pic:blipFill>
                  <pic:spPr>
                    <a:xfrm>
                      <a:off x="0" y="0"/>
                      <a:ext cx="9182100" cy="5810250"/>
                    </a:xfrm>
                    <a:prstGeom prst="rect">
                      <a:avLst/>
                    </a:prstGeom>
                  </pic:spPr>
                </pic:pic>
              </a:graphicData>
            </a:graphic>
          </wp:inline>
        </w:drawing>
      </w:r>
    </w:p>
    <w:p w14:paraId="1E3EBC93"/>
    <w:p w14:paraId="5D060BAF">
      <w:r>
        <w:rPr>
          <w:b/>
          <w:color w:val="000000"/>
          <w:sz w:val="24"/>
        </w:rPr>
        <w:t xml:space="preserve"> 2.4.5 降压模块概述：</w:t>
      </w:r>
    </w:p>
    <w:p w14:paraId="5EA5FD2C">
      <w:r>
        <w:rPr>
          <w:color w:val="000000"/>
          <w:sz w:val="21"/>
        </w:rPr>
        <w:t>ROV的降压模块是由MP2315大功率型降压型直流电源变换器芯片制作的可调直流降压模块，只需极少的外围器件便可构成高效稳压电路，外围元件少，纹波低，输出最大电流可达3A，为整个ROV提供电源动力。MP2315拥有：4.5V 至 24V的宽工作输入电压范围，110mΩ/55mΩ 低导通阻抗内部功率 MOSFET，低静态电流，高效同步工作模式，AAM 节电模式，内部软启动，输出过压保护（OVP），过流保护（OCP），自动恢复功能，过温关断保护等优势。其输出电压可调节，且可调节范围大，输出电压0.8V-24V可调，使得航行器能够满足不同外设所需要的不同电压，实用性更强。具有良好的负载特性和线性调整率。且MP2315芯片性能稳定，体积小，价格低，相比于现在市场上主流的LM2596（3A电流效率在74%左右），MP2315的效率更高（3A电流时效率在92%左右），大大节省了电源的耗能，提高了电源的使用效率。降压模块的原理图和预览图如图   ，图  所示</w:t>
      </w:r>
    </w:p>
    <w:p w14:paraId="194C55AB">
      <w:r>
        <w:drawing>
          <wp:inline distT="0" distB="0" distL="0" distR="0">
            <wp:extent cx="9363075" cy="4502150"/>
            <wp:effectExtent l="0" t="0" r="0" b="0"/>
            <wp:docPr id="16" name="$E6Z~40T5Z6`TSN(QO4((NO.png"/>
            <wp:cNvGraphicFramePr/>
            <a:graphic xmlns:a="http://schemas.openxmlformats.org/drawingml/2006/main">
              <a:graphicData uri="http://schemas.openxmlformats.org/drawingml/2006/picture">
                <pic:pic xmlns:pic="http://schemas.openxmlformats.org/drawingml/2006/picture">
                  <pic:nvPicPr>
                    <pic:cNvPr id="16" name="$E6Z~40T5Z6`TSN(QO4((NO.png"/>
                    <pic:cNvPicPr/>
                  </pic:nvPicPr>
                  <pic:blipFill>
                    <a:blip r:embed="rId20"/>
                    <a:stretch>
                      <a:fillRect/>
                    </a:stretch>
                  </pic:blipFill>
                  <pic:spPr>
                    <a:xfrm>
                      <a:off x="0" y="0"/>
                      <a:ext cx="9363075" cy="4502245"/>
                    </a:xfrm>
                    <a:prstGeom prst="rect">
                      <a:avLst/>
                    </a:prstGeom>
                  </pic:spPr>
                </pic:pic>
              </a:graphicData>
            </a:graphic>
          </wp:inline>
        </w:drawing>
      </w:r>
    </w:p>
    <w:p w14:paraId="412EFD7E"/>
    <w:p w14:paraId="74B41F9B">
      <w:r>
        <w:drawing>
          <wp:inline distT="0" distB="0" distL="0" distR="0">
            <wp:extent cx="9363075" cy="4644390"/>
            <wp:effectExtent l="0" t="0" r="0" b="0"/>
            <wp:docPr id="17" name="BD6{UH{8Q$HOF9YQ8V1E5JI.png"/>
            <wp:cNvGraphicFramePr/>
            <a:graphic xmlns:a="http://schemas.openxmlformats.org/drawingml/2006/main">
              <a:graphicData uri="http://schemas.openxmlformats.org/drawingml/2006/picture">
                <pic:pic xmlns:pic="http://schemas.openxmlformats.org/drawingml/2006/picture">
                  <pic:nvPicPr>
                    <pic:cNvPr id="17" name="BD6{UH{8Q$HOF9YQ8V1E5JI.png"/>
                    <pic:cNvPicPr/>
                  </pic:nvPicPr>
                  <pic:blipFill>
                    <a:blip r:embed="rId21"/>
                    <a:stretch>
                      <a:fillRect/>
                    </a:stretch>
                  </pic:blipFill>
                  <pic:spPr>
                    <a:xfrm>
                      <a:off x="0" y="0"/>
                      <a:ext cx="9363075" cy="4644617"/>
                    </a:xfrm>
                    <a:prstGeom prst="rect">
                      <a:avLst/>
                    </a:prstGeom>
                  </pic:spPr>
                </pic:pic>
              </a:graphicData>
            </a:graphic>
          </wp:inline>
        </w:drawing>
      </w:r>
    </w:p>
    <w:p w14:paraId="4DDAB00C"/>
    <w:p w14:paraId="3BF0205A">
      <w:r>
        <w:rPr>
          <w:b/>
          <w:color w:val="000000"/>
          <w:sz w:val="24"/>
        </w:rPr>
        <w:t>2.4.6 电压检测概述：</w:t>
      </w:r>
    </w:p>
    <w:p w14:paraId="1564B696">
      <w:r>
        <w:rPr>
          <w:color w:val="000000"/>
          <w:sz w:val="21"/>
        </w:rPr>
        <w:t>总电池组的16.8V电压经过电阻分压，衰竭为原来的1/15之后，送单片机进行ADC检测，根据当前电压计算电池所剩电量，并将电量数据发送给上位机，操作者可根据当前电量数据评估ROV执行任务情况和是否需要充电。电量检测模块原理图，实物图如图  ，图   所示</w:t>
      </w:r>
    </w:p>
    <w:p w14:paraId="6F946A75">
      <w:r>
        <w:drawing>
          <wp:inline distT="0" distB="0" distL="0" distR="0">
            <wp:extent cx="4457700" cy="4381500"/>
            <wp:effectExtent l="0" t="0" r="0" b="0"/>
            <wp:docPr id="18" name="3GLYVAMIHPW}`0F@9D[GQ_W.png"/>
            <wp:cNvGraphicFramePr/>
            <a:graphic xmlns:a="http://schemas.openxmlformats.org/drawingml/2006/main">
              <a:graphicData uri="http://schemas.openxmlformats.org/drawingml/2006/picture">
                <pic:pic xmlns:pic="http://schemas.openxmlformats.org/drawingml/2006/picture">
                  <pic:nvPicPr>
                    <pic:cNvPr id="18" name="3GLYVAMIHPW}`0F@9D[GQ_W.png"/>
                    <pic:cNvPicPr/>
                  </pic:nvPicPr>
                  <pic:blipFill>
                    <a:blip r:embed="rId22"/>
                    <a:stretch>
                      <a:fillRect/>
                    </a:stretch>
                  </pic:blipFill>
                  <pic:spPr>
                    <a:xfrm>
                      <a:off x="0" y="0"/>
                      <a:ext cx="4457700" cy="4381500"/>
                    </a:xfrm>
                    <a:prstGeom prst="rect">
                      <a:avLst/>
                    </a:prstGeom>
                  </pic:spPr>
                </pic:pic>
              </a:graphicData>
            </a:graphic>
          </wp:inline>
        </w:drawing>
      </w:r>
    </w:p>
    <w:p w14:paraId="3DD69558">
      <w:r>
        <w:drawing>
          <wp:inline distT="0" distB="0" distL="0" distR="0">
            <wp:extent cx="8961120" cy="1539240"/>
            <wp:effectExtent l="0" t="0" r="0" b="0"/>
            <wp:docPr id="19" name="X5L~2$7BM__HT6C4J9W(RNC.png"/>
            <wp:cNvGraphicFramePr/>
            <a:graphic xmlns:a="http://schemas.openxmlformats.org/drawingml/2006/main">
              <a:graphicData uri="http://schemas.openxmlformats.org/drawingml/2006/picture">
                <pic:pic xmlns:pic="http://schemas.openxmlformats.org/drawingml/2006/picture">
                  <pic:nvPicPr>
                    <pic:cNvPr id="19" name="X5L~2$7BM__HT6C4J9W(RNC.png"/>
                    <pic:cNvPicPr/>
                  </pic:nvPicPr>
                  <pic:blipFill>
                    <a:blip r:embed="rId23"/>
                    <a:stretch>
                      <a:fillRect/>
                    </a:stretch>
                  </pic:blipFill>
                  <pic:spPr>
                    <a:xfrm>
                      <a:off x="0" y="0"/>
                      <a:ext cx="8961120" cy="1539240"/>
                    </a:xfrm>
                    <a:prstGeom prst="rect">
                      <a:avLst/>
                    </a:prstGeom>
                  </pic:spPr>
                </pic:pic>
              </a:graphicData>
            </a:graphic>
          </wp:inline>
        </w:drawing>
      </w:r>
    </w:p>
    <w:p w14:paraId="775D2C95"/>
    <w:p w14:paraId="17E52DD0"/>
    <w:p w14:paraId="1DB453DF">
      <w:r>
        <w:rPr>
          <w:color w:val="000000"/>
          <w:sz w:val="21"/>
        </w:rPr>
        <w:t>“蔚蓝行者”水下自主ROV在整个电源板尾部进行分流设计助力舱内电路模块化。使用XT30、XT60插头作为接口，所有外设通过分流与内部系统连接，可实现快速安装，即拔即插，减小短路风险，安全可靠，集成化、实用化程度更高。</w:t>
      </w:r>
    </w:p>
    <w:p w14:paraId="0D547DD6"/>
    <w:p w14:paraId="3587513F"/>
    <w:p w14:paraId="24E16794"/>
    <w:p w14:paraId="1C79848F"/>
    <w:p w14:paraId="729CADC7"/>
    <w:p w14:paraId="50E137FF"/>
    <w:p w14:paraId="668F2267"/>
    <w:p w14:paraId="1D5F6389"/>
    <w:p w14:paraId="0834DB68"/>
    <w:p w14:paraId="77822594"/>
    <w:p w14:paraId="146E1A9C"/>
    <w:p w14:paraId="3AC0AF26"/>
    <w:p w14:paraId="17DA9FC0"/>
    <w:p w14:paraId="636BAF9C"/>
    <w:p w14:paraId="0B738381"/>
    <w:p w14:paraId="39E24FA6"/>
    <w:p w14:paraId="0E1A27A2"/>
    <w:p w14:paraId="0A98222F"/>
    <w:p w14:paraId="5A4B69AF"/>
    <w:p w14:paraId="6AF25CF8"/>
    <w:p w14:paraId="45512487"/>
    <w:p w14:paraId="06AAD7A1"/>
    <w:p w14:paraId="4C321C63"/>
    <w:p w14:paraId="1C05C00E"/>
    <w:p w14:paraId="3283DC9B"/>
    <w:p w14:paraId="11EA0EEB"/>
    <w:p w14:paraId="10ED2BE5"/>
    <w:p w14:paraId="4D077C00"/>
    <w:p w14:paraId="5A17B8A6"/>
    <w:p w14:paraId="2628B6B6"/>
    <w:p w14:paraId="71B9F806"/>
    <w:p w14:paraId="21096BAA"/>
    <w:p w14:paraId="7A73FD95"/>
    <w:p w14:paraId="4ED19333"/>
    <w:p w14:paraId="24952D2E"/>
    <w:p w14:paraId="65154034"/>
    <w:p w14:paraId="4D9CDCCA"/>
    <w:p w14:paraId="10496B55"/>
    <w:p w14:paraId="784BDE53"/>
    <w:p w14:paraId="0EE4894F"/>
    <w:p w14:paraId="3C37C6A5"/>
    <w:p w14:paraId="6ACE7CB4"/>
    <w:p w14:paraId="6ED23C57"/>
    <w:p w14:paraId="7AF6C056"/>
    <w:p w14:paraId="559563FD"/>
    <w:p w14:paraId="2A7C31B9"/>
    <w:p w14:paraId="408D1487"/>
    <w:p w14:paraId="01659770"/>
    <w:p w14:paraId="5E447118"/>
    <w:p w14:paraId="10D2B77B"/>
    <w:p w14:paraId="5770C17D"/>
    <w:p w14:paraId="0B32BCFB"/>
    <w:p w14:paraId="23DE1AA7"/>
    <w:p w14:paraId="6503BDF2"/>
    <w:p w14:paraId="2CF4A2C0"/>
    <w:p w14:paraId="6480C075"/>
    <w:p w14:paraId="239CC3E1"/>
    <w:p w14:paraId="5425C44B"/>
    <w:p w14:paraId="5B0D5727"/>
    <w:p w14:paraId="625E7606"/>
    <w:p w14:paraId="38E7F83A"/>
    <w:p w14:paraId="69E9A047"/>
    <w:p w14:paraId="1EDACBF7"/>
    <w:p w14:paraId="096049A2"/>
    <w:p w14:paraId="65D2BBE4"/>
    <w:p w14:paraId="4D956531"/>
    <w:p w14:paraId="4CA8AA75"/>
    <w:p w14:paraId="246B3B9D"/>
    <w:p w14:paraId="1064B0C4"/>
    <w:p w14:paraId="42A4B281"/>
    <w:p w14:paraId="6A29F615"/>
    <w:p w14:paraId="4DCD39C5"/>
    <w:p w14:paraId="1BDDA26D"/>
    <w:p w14:paraId="70458F58"/>
    <w:p w14:paraId="058968BF"/>
    <w:p w14:paraId="61BCE943"/>
    <w:p w14:paraId="48AABC98"/>
    <w:p w14:paraId="0887FA4A"/>
    <w:p w14:paraId="7CEE4E0A"/>
    <w:p w14:paraId="12A0E4C1"/>
    <w:p w14:paraId="7AE8EC85"/>
    <w:p w14:paraId="69F98753"/>
    <w:sectPr>
      <w:pgSz w:w="16905" w:h="23820"/>
      <w:pgMar w:top="1440" w:right="1080" w:bottom="1440" w:left="1080" w:header="850" w:footer="991"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E306ED"/>
    <w:multiLevelType w:val="singleLevel"/>
    <w:tmpl w:val="B5E306ED"/>
    <w:lvl w:ilvl="0" w:tentative="0">
      <w:start w:val="1"/>
      <w:numFmt w:val="bullet"/>
      <w:lvlText w:val="●"/>
      <w:lvlJc w:val="left"/>
      <w:pPr>
        <w:ind w:left="420" w:hanging="420"/>
      </w:pPr>
    </w:lvl>
  </w:abstractNum>
  <w:abstractNum w:abstractNumId="1">
    <w:nsid w:val="BF205925"/>
    <w:multiLevelType w:val="singleLevel"/>
    <w:tmpl w:val="BF205925"/>
    <w:lvl w:ilvl="0" w:tentative="0">
      <w:start w:val="1"/>
      <w:numFmt w:val="bullet"/>
      <w:lvlText w:val="●"/>
      <w:lvlJc w:val="left"/>
      <w:pPr>
        <w:ind w:left="420" w:hanging="420"/>
      </w:pPr>
    </w:lvl>
  </w:abstractNum>
  <w:abstractNum w:abstractNumId="2">
    <w:nsid w:val="CF092B84"/>
    <w:multiLevelType w:val="singleLevel"/>
    <w:tmpl w:val="CF092B84"/>
    <w:lvl w:ilvl="0" w:tentative="0">
      <w:start w:val="1"/>
      <w:numFmt w:val="decimal"/>
      <w:lvlText w:val="%1."/>
      <w:lvlJc w:val="left"/>
      <w:pPr>
        <w:ind w:left="420" w:hanging="420"/>
      </w:pPr>
    </w:lvl>
  </w:abstractNum>
  <w:abstractNum w:abstractNumId="3">
    <w:nsid w:val="0053208E"/>
    <w:multiLevelType w:val="singleLevel"/>
    <w:tmpl w:val="0053208E"/>
    <w:lvl w:ilvl="0" w:tentative="0">
      <w:start w:val="1"/>
      <w:numFmt w:val="decimal"/>
      <w:lvlText w:val="%1、"/>
      <w:lvlJc w:val="left"/>
      <w:pPr>
        <w:ind w:left="420" w:hanging="420"/>
      </w:pPr>
    </w:lvl>
  </w:abstractNum>
  <w:abstractNum w:abstractNumId="4">
    <w:nsid w:val="03D62ECE"/>
    <w:multiLevelType w:val="singleLevel"/>
    <w:tmpl w:val="03D62ECE"/>
    <w:lvl w:ilvl="0" w:tentative="0">
      <w:start w:val="1"/>
      <w:numFmt w:val="bullet"/>
      <w:lvlText w:val="●"/>
      <w:lvlJc w:val="left"/>
      <w:pPr>
        <w:ind w:left="420" w:hanging="420"/>
      </w:pPr>
    </w:lvl>
  </w:abstractNum>
  <w:abstractNum w:abstractNumId="5">
    <w:nsid w:val="25B654F3"/>
    <w:multiLevelType w:val="singleLevel"/>
    <w:tmpl w:val="25B654F3"/>
    <w:lvl w:ilvl="0" w:tentative="0">
      <w:start w:val="1"/>
      <w:numFmt w:val="bullet"/>
      <w:lvlText w:val="●"/>
      <w:lvlJc w:val="left"/>
      <w:pPr>
        <w:ind w:left="420" w:hanging="420"/>
      </w:pPr>
    </w:lvl>
  </w:abstractNum>
  <w:abstractNum w:abstractNumId="6">
    <w:nsid w:val="59ADCABA"/>
    <w:multiLevelType w:val="singleLevel"/>
    <w:tmpl w:val="59ADCABA"/>
    <w:lvl w:ilvl="0" w:tentative="0">
      <w:start w:val="1"/>
      <w:numFmt w:val="bullet"/>
      <w:lvlText w:val="●"/>
      <w:lvlJc w:val="left"/>
      <w:pPr>
        <w:ind w:left="420" w:hanging="420"/>
      </w:pPr>
    </w:lvl>
  </w:abstractNum>
  <w:num w:numId="1">
    <w:abstractNumId w:val="3"/>
  </w:num>
  <w:num w:numId="2">
    <w:abstractNumId w:val="2"/>
  </w:num>
  <w:num w:numId="3">
    <w:abstractNumId w:val="6"/>
  </w:num>
  <w:num w:numId="4">
    <w:abstractNumId w:val="1"/>
  </w:num>
  <w:num w:numId="5">
    <w:abstractNumId w:val="0"/>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isplayBackgroundShape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zVlMDRhOTYyNWExOTlkMzNjMzZiN2ZmMzljOWVmMWYifQ=="/>
  </w:docVars>
  <w:rsids>
    <w:rsidRoot w:val="00000000"/>
    <w:rsid w:val="328841E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qFormat="1" w:uiPriority="0" w:name="heading 2"/>
    <w:lsdException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rPr>
  </w:style>
  <w:style w:type="paragraph" w:styleId="2">
    <w:name w:val="heading 1"/>
    <w:uiPriority w:val="0"/>
    <w:pPr>
      <w:keepNext/>
      <w:keepLines/>
      <w:spacing w:before="348" w:after="210"/>
    </w:pPr>
    <w:rPr>
      <w:rFonts w:asciiTheme="minorHAnsi" w:hAnsiTheme="minorHAnsi" w:eastAsiaTheme="minorEastAsia" w:cstheme="minorBidi"/>
      <w:b/>
      <w:kern w:val="2"/>
      <w:sz w:val="34"/>
    </w:rPr>
  </w:style>
  <w:style w:type="paragraph" w:styleId="3">
    <w:name w:val="heading 3"/>
    <w:uiPriority w:val="0"/>
    <w:pPr>
      <w:keepNext/>
      <w:keepLines/>
      <w:spacing w:before="348" w:after="170"/>
    </w:pPr>
    <w:rPr>
      <w:rFonts w:asciiTheme="minorHAnsi" w:hAnsiTheme="minorHAnsi" w:eastAsiaTheme="minorEastAsia" w:cstheme="minorBidi"/>
      <w:b/>
      <w:kern w:val="2"/>
      <w:sz w:val="22"/>
    </w:rPr>
  </w:style>
  <w:style w:type="character" w:default="1" w:styleId="6">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table" w:styleId="5">
    <w:name w:val="Table Grid"/>
    <w:uiPriority w:val="0"/>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style>
  <w:style w:type="character" w:styleId="7">
    <w:name w:val="Hyperlink"/>
    <w:qFormat/>
    <w:uiPriority w:val="0"/>
    <w:rPr>
      <w:color w:val="0563C1"/>
      <w:u w:val="single"/>
    </w:rPr>
  </w:style>
  <w:style w:type="paragraph" w:customStyle="1" w:styleId="8">
    <w:name w:val="dingdocnormal"/>
    <w:qFormat/>
    <w:uiPriority w:val="0"/>
    <w:rPr>
      <w:rFonts w:asciiTheme="minorHAnsi" w:hAnsiTheme="minorHAnsi" w:eastAsiaTheme="minorEastAsia" w:cstheme="minorBidi"/>
      <w:kern w:val="2"/>
      <w:sz w:val="21"/>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5" Type="http://schemas.openxmlformats.org/officeDocument/2006/relationships/fontTable" Target="fontTable.xml"/><Relationship Id="rId24" Type="http://schemas.openxmlformats.org/officeDocument/2006/relationships/numbering" Target="numbering.xml"/><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15</Pages>
  <Words>6501</Words>
  <Characters>7390</Characters>
  <TotalTime>1</TotalTime>
  <ScaleCrop>false</ScaleCrop>
  <LinksUpToDate>false</LinksUpToDate>
  <CharactersWithSpaces>7760</CharactersWithSpaces>
  <Application>WPS Office_12.1.0.17133_F1E327BC-269C-435d-A152-05C5408002CA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1970-01-01T00:00:00Z</dcterms:created>
  <dc:creator>DingTalk</dc:creator>
  <dc:description>DingTalk Document</dc:description>
  <cp:lastModifiedBy>WPS_1668160870</cp:lastModifiedBy>
  <dcterms:modified xsi:type="dcterms:W3CDTF">2024-06-19T06:15:49Z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2052-12.1.0.17133</vt:lpwstr>
  </property>
  <property fmtid="{D5CDD505-2E9C-101B-9397-08002B2CF9AE}" pid="3" name="ICV">
    <vt:lpwstr>8EEEF49399E443D7B1B34FA7D8162779_12</vt:lpwstr>
  </property>
</Properties>
</file>